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199" w:firstLineChars="45"/>
        <w:jc w:val="center"/>
        <w:rPr>
          <w:rFonts w:hint="eastAsia" w:ascii="宋体" w:hAnsi="宋体" w:eastAsia="宋体" w:cs="宋体"/>
          <w:b/>
          <w:sz w:val="44"/>
          <w:szCs w:val="44"/>
        </w:rPr>
      </w:pPr>
    </w:p>
    <w:p>
      <w:pPr>
        <w:spacing w:line="240" w:lineRule="auto"/>
        <w:ind w:firstLine="199" w:firstLineChars="45"/>
        <w:jc w:val="center"/>
        <w:rPr>
          <w:rFonts w:hint="eastAsia" w:ascii="宋体" w:hAnsi="宋体" w:eastAsia="宋体" w:cs="宋体"/>
          <w:b/>
          <w:sz w:val="44"/>
          <w:szCs w:val="44"/>
        </w:rPr>
      </w:pPr>
    </w:p>
    <w:p>
      <w:pPr>
        <w:spacing w:line="240" w:lineRule="auto"/>
        <w:ind w:firstLine="199" w:firstLineChars="45"/>
        <w:jc w:val="center"/>
        <w:rPr>
          <w:rFonts w:hint="eastAsia" w:ascii="宋体" w:hAnsi="宋体" w:eastAsia="宋体" w:cs="宋体"/>
          <w:b/>
          <w:sz w:val="44"/>
          <w:szCs w:val="44"/>
        </w:rPr>
      </w:pPr>
    </w:p>
    <w:p>
      <w:pPr>
        <w:spacing w:line="240" w:lineRule="auto"/>
        <w:ind w:left="0" w:leftChars="0" w:firstLine="0" w:firstLineChars="0"/>
        <w:jc w:val="center"/>
        <w:rPr>
          <w:rFonts w:hint="eastAsia" w:ascii="宋体" w:hAnsi="宋体" w:eastAsia="宋体" w:cs="宋体"/>
          <w:b/>
          <w:sz w:val="56"/>
          <w:szCs w:val="56"/>
        </w:rPr>
      </w:pPr>
      <w:r>
        <w:rPr>
          <w:rFonts w:hint="eastAsia" w:ascii="宋体" w:hAnsi="宋体" w:cs="宋体"/>
          <w:b/>
          <w:sz w:val="56"/>
          <w:szCs w:val="56"/>
          <w:lang w:val="en-US" w:eastAsia="zh-CN"/>
        </w:rPr>
        <w:t>哥 伦 电 气 有 限 公 司</w:t>
      </w:r>
    </w:p>
    <w:p>
      <w:pPr>
        <w:spacing w:line="240" w:lineRule="auto"/>
        <w:ind w:firstLine="235" w:firstLineChars="45"/>
        <w:jc w:val="center"/>
        <w:rPr>
          <w:rFonts w:hint="eastAsia" w:ascii="宋体" w:hAnsi="宋体" w:eastAsia="宋体" w:cs="宋体"/>
          <w:b/>
          <w:sz w:val="52"/>
          <w:szCs w:val="52"/>
        </w:rPr>
      </w:pPr>
    </w:p>
    <w:p>
      <w:pPr>
        <w:spacing w:line="240" w:lineRule="auto"/>
        <w:ind w:firstLine="235" w:firstLineChars="45"/>
        <w:jc w:val="center"/>
        <w:rPr>
          <w:rFonts w:hint="eastAsia" w:ascii="宋体" w:hAnsi="宋体" w:eastAsia="宋体" w:cs="宋体"/>
          <w:b/>
          <w:sz w:val="52"/>
          <w:szCs w:val="52"/>
        </w:rPr>
      </w:pPr>
      <w:r>
        <w:rPr>
          <w:rFonts w:hint="eastAsia" w:ascii="宋体" w:hAnsi="宋体" w:eastAsia="宋体" w:cs="宋体"/>
          <w:b/>
          <w:sz w:val="52"/>
          <w:szCs w:val="52"/>
        </w:rPr>
        <w:t>20</w:t>
      </w:r>
      <w:r>
        <w:rPr>
          <w:rFonts w:hint="eastAsia" w:ascii="宋体" w:hAnsi="宋体" w:cs="宋体"/>
          <w:b/>
          <w:sz w:val="52"/>
          <w:szCs w:val="52"/>
          <w:lang w:val="en-US" w:eastAsia="zh-CN"/>
        </w:rPr>
        <w:t>21</w:t>
      </w:r>
      <w:r>
        <w:rPr>
          <w:rFonts w:hint="eastAsia" w:ascii="宋体" w:hAnsi="宋体" w:eastAsia="宋体" w:cs="宋体"/>
          <w:b/>
          <w:sz w:val="52"/>
          <w:szCs w:val="52"/>
        </w:rPr>
        <w:t>年社会责任报告</w:t>
      </w:r>
    </w:p>
    <w:p>
      <w:pPr>
        <w:pStyle w:val="21"/>
        <w:rPr>
          <w:rFonts w:hint="eastAsia" w:ascii="宋体" w:hAnsi="宋体" w:eastAsia="宋体" w:cs="宋体"/>
        </w:rPr>
      </w:pPr>
    </w:p>
    <w:p>
      <w:pPr>
        <w:spacing w:line="240" w:lineRule="auto"/>
        <w:ind w:firstLine="199" w:firstLineChars="45"/>
        <w:jc w:val="center"/>
        <w:rPr>
          <w:rFonts w:hint="eastAsia" w:ascii="宋体" w:hAnsi="宋体" w:eastAsia="宋体" w:cs="宋体"/>
          <w:b/>
          <w:sz w:val="44"/>
          <w:szCs w:val="44"/>
        </w:rPr>
      </w:pPr>
      <w:r>
        <w:rPr>
          <w:rFonts w:hint="eastAsia" w:ascii="宋体" w:hAnsi="宋体" w:eastAsia="宋体" w:cs="宋体"/>
          <w:b/>
          <w:bCs/>
          <w:color w:val="auto"/>
          <w:sz w:val="44"/>
          <w:szCs w:val="44"/>
          <w:u w:val="none"/>
          <w:lang w:eastAsia="zh-CN"/>
        </w:rPr>
        <w:drawing>
          <wp:anchor distT="0" distB="0" distL="114300" distR="114300" simplePos="0" relativeHeight="252994560" behindDoc="0" locked="0" layoutInCell="1" allowOverlap="1">
            <wp:simplePos x="0" y="0"/>
            <wp:positionH relativeFrom="column">
              <wp:posOffset>-1212215</wp:posOffset>
            </wp:positionH>
            <wp:positionV relativeFrom="paragraph">
              <wp:posOffset>132080</wp:posOffset>
            </wp:positionV>
            <wp:extent cx="7588250" cy="3341370"/>
            <wp:effectExtent l="0" t="0" r="12700" b="11430"/>
            <wp:wrapTopAndBottom/>
            <wp:docPr id="13" name="图片 4" descr="165959709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659597093536"/>
                    <pic:cNvPicPr>
                      <a:picLocks noChangeAspect="1"/>
                    </pic:cNvPicPr>
                  </pic:nvPicPr>
                  <pic:blipFill>
                    <a:blip r:embed="rId11"/>
                    <a:srcRect l="2428"/>
                    <a:stretch>
                      <a:fillRect/>
                    </a:stretch>
                  </pic:blipFill>
                  <pic:spPr>
                    <a:xfrm>
                      <a:off x="0" y="0"/>
                      <a:ext cx="7588250" cy="3341370"/>
                    </a:xfrm>
                    <a:prstGeom prst="rect">
                      <a:avLst/>
                    </a:prstGeom>
                    <a:noFill/>
                    <a:ln>
                      <a:noFill/>
                    </a:ln>
                  </pic:spPr>
                </pic:pic>
              </a:graphicData>
            </a:graphic>
          </wp:anchor>
        </w:drawing>
      </w:r>
    </w:p>
    <w:p>
      <w:pPr>
        <w:spacing w:line="240" w:lineRule="auto"/>
        <w:ind w:firstLine="235" w:firstLineChars="45"/>
        <w:jc w:val="center"/>
        <w:rPr>
          <w:rFonts w:hint="eastAsia" w:ascii="宋体" w:hAnsi="宋体" w:eastAsia="宋体" w:cs="宋体"/>
          <w:b/>
          <w:sz w:val="52"/>
          <w:szCs w:val="52"/>
        </w:rPr>
      </w:pPr>
    </w:p>
    <w:p>
      <w:pPr>
        <w:spacing w:line="240" w:lineRule="auto"/>
        <w:ind w:firstLine="235" w:firstLineChars="45"/>
        <w:jc w:val="center"/>
        <w:rPr>
          <w:rFonts w:hint="eastAsia" w:ascii="宋体" w:hAnsi="宋体" w:eastAsia="宋体" w:cs="宋体"/>
          <w:b/>
          <w:sz w:val="52"/>
          <w:szCs w:val="52"/>
        </w:rPr>
      </w:pPr>
    </w:p>
    <w:p>
      <w:pPr>
        <w:spacing w:line="240" w:lineRule="auto"/>
        <w:ind w:firstLine="217" w:firstLineChars="45"/>
        <w:jc w:val="center"/>
        <w:rPr>
          <w:rFonts w:hint="eastAsia" w:ascii="宋体" w:hAnsi="宋体" w:eastAsia="宋体" w:cs="宋体"/>
          <w:b/>
          <w:sz w:val="48"/>
        </w:rPr>
      </w:pPr>
      <w:r>
        <w:rPr>
          <w:rFonts w:hint="eastAsia" w:ascii="宋体" w:hAnsi="宋体" w:eastAsia="宋体" w:cs="宋体"/>
          <w:b/>
          <w:sz w:val="48"/>
        </w:rPr>
        <w:t>202</w:t>
      </w:r>
      <w:r>
        <w:rPr>
          <w:rFonts w:hint="eastAsia" w:ascii="宋体" w:hAnsi="宋体" w:cs="宋体"/>
          <w:b/>
          <w:sz w:val="48"/>
          <w:lang w:val="en-US" w:eastAsia="zh-CN"/>
        </w:rPr>
        <w:t>2</w:t>
      </w:r>
      <w:r>
        <w:rPr>
          <w:rFonts w:hint="eastAsia" w:ascii="宋体" w:hAnsi="宋体" w:eastAsia="宋体" w:cs="宋体"/>
          <w:b/>
          <w:sz w:val="48"/>
        </w:rPr>
        <w:t>年</w:t>
      </w:r>
      <w:r>
        <w:rPr>
          <w:rFonts w:hint="eastAsia" w:ascii="宋体" w:hAnsi="宋体" w:cs="宋体"/>
          <w:b/>
          <w:sz w:val="48"/>
          <w:lang w:val="en-US" w:eastAsia="zh-CN"/>
        </w:rPr>
        <w:t>3</w:t>
      </w:r>
      <w:r>
        <w:rPr>
          <w:rFonts w:hint="eastAsia" w:ascii="宋体" w:hAnsi="宋体" w:eastAsia="宋体" w:cs="宋体"/>
          <w:b/>
          <w:sz w:val="48"/>
        </w:rPr>
        <w:t>月</w:t>
      </w:r>
    </w:p>
    <w:p>
      <w:pPr>
        <w:adjustRightInd/>
        <w:snapToGrid/>
        <w:spacing w:after="200" w:line="220" w:lineRule="atLeast"/>
        <w:ind w:firstLine="0" w:firstLineChars="0"/>
        <w:jc w:val="left"/>
        <w:rPr>
          <w:rFonts w:hint="eastAsia" w:ascii="宋体" w:hAnsi="宋体" w:eastAsia="宋体" w:cs="宋体"/>
        </w:rPr>
      </w:pPr>
      <w:r>
        <w:rPr>
          <w:rFonts w:hint="eastAsia" w:ascii="宋体" w:hAnsi="宋体" w:eastAsia="宋体" w:cs="宋体"/>
        </w:rPr>
        <w:br w:type="page"/>
      </w:r>
    </w:p>
    <w:p>
      <w:pPr>
        <w:spacing w:line="360" w:lineRule="auto"/>
        <w:ind w:firstLine="482"/>
        <w:rPr>
          <w:rFonts w:hint="eastAsia" w:ascii="宋体" w:hAnsi="宋体" w:eastAsia="宋体" w:cs="宋体"/>
          <w:b/>
          <w:snapToGrid w:val="0"/>
        </w:rPr>
      </w:pPr>
      <w:r>
        <w:rPr>
          <w:rFonts w:hint="eastAsia" w:ascii="宋体" w:hAnsi="宋体" w:eastAsia="宋体" w:cs="宋体"/>
          <w:b/>
          <w:snapToGrid w:val="0"/>
        </w:rPr>
        <w:t>报告简介</w:t>
      </w:r>
    </w:p>
    <w:p>
      <w:pPr>
        <w:spacing w:line="360" w:lineRule="auto"/>
        <w:ind w:firstLine="480"/>
        <w:rPr>
          <w:rFonts w:hint="eastAsia" w:ascii="宋体" w:hAnsi="宋体" w:eastAsia="宋体" w:cs="宋体"/>
          <w:snapToGrid w:val="0"/>
        </w:rPr>
      </w:pPr>
      <w:r>
        <w:rPr>
          <w:rFonts w:hint="eastAsia" w:ascii="宋体" w:hAnsi="宋体" w:eastAsia="宋体" w:cs="宋体"/>
          <w:snapToGrid w:val="0"/>
        </w:rPr>
        <w:t>报告本着客观、透明、全面的原则，阐述了公司20</w:t>
      </w:r>
      <w:r>
        <w:rPr>
          <w:rFonts w:hint="eastAsia" w:ascii="宋体" w:hAnsi="宋体" w:cs="宋体"/>
          <w:snapToGrid w:val="0"/>
          <w:lang w:val="en-US" w:eastAsia="zh-CN"/>
        </w:rPr>
        <w:t>20</w:t>
      </w:r>
      <w:r>
        <w:rPr>
          <w:rFonts w:hint="eastAsia" w:ascii="宋体" w:hAnsi="宋体" w:eastAsia="宋体" w:cs="宋体"/>
          <w:snapToGrid w:val="0"/>
        </w:rPr>
        <w:t>年在实现自身发展的同时，积极履行社会责任的具体内容，披露了公司履行经济、环保和社会责任方面的理念、践行和成绩。</w:t>
      </w:r>
    </w:p>
    <w:p>
      <w:pPr>
        <w:spacing w:line="360" w:lineRule="auto"/>
        <w:ind w:firstLine="482"/>
        <w:rPr>
          <w:rFonts w:hint="eastAsia" w:ascii="宋体" w:hAnsi="宋体" w:eastAsia="宋体" w:cs="宋体"/>
          <w:b/>
          <w:snapToGrid w:val="0"/>
        </w:rPr>
      </w:pPr>
      <w:r>
        <w:rPr>
          <w:rFonts w:hint="eastAsia" w:ascii="宋体" w:hAnsi="宋体" w:eastAsia="宋体" w:cs="宋体"/>
          <w:b/>
          <w:snapToGrid w:val="0"/>
        </w:rPr>
        <w:t>编制依据</w:t>
      </w:r>
    </w:p>
    <w:p>
      <w:pPr>
        <w:spacing w:line="360" w:lineRule="auto"/>
        <w:ind w:firstLine="480"/>
        <w:rPr>
          <w:rFonts w:hint="eastAsia" w:ascii="宋体" w:hAnsi="宋体" w:eastAsia="宋体" w:cs="宋体"/>
          <w:snapToGrid w:val="0"/>
        </w:rPr>
      </w:pPr>
      <w:r>
        <w:rPr>
          <w:rFonts w:hint="eastAsia" w:ascii="宋体" w:hAnsi="宋体" w:eastAsia="宋体" w:cs="宋体"/>
          <w:snapToGrid w:val="0"/>
        </w:rPr>
        <w:t>本报告编制遵循《“浙江制造”评价规范第一部分：通用要求》、《中国企业社会责任报告编写指南（CASS-CSR3.0）》和国家标准《GB/T 36000社会责任指南（2015）》的规定。</w:t>
      </w:r>
    </w:p>
    <w:p>
      <w:pPr>
        <w:spacing w:line="360" w:lineRule="auto"/>
        <w:ind w:firstLine="482"/>
        <w:rPr>
          <w:rFonts w:hint="eastAsia" w:ascii="宋体" w:hAnsi="宋体" w:eastAsia="宋体" w:cs="宋体"/>
          <w:b/>
          <w:snapToGrid w:val="0"/>
        </w:rPr>
      </w:pPr>
      <w:r>
        <w:rPr>
          <w:rFonts w:hint="eastAsia" w:ascii="宋体" w:hAnsi="宋体" w:eastAsia="宋体" w:cs="宋体"/>
          <w:b/>
          <w:snapToGrid w:val="0"/>
        </w:rPr>
        <w:t>时间范围</w:t>
      </w:r>
    </w:p>
    <w:p>
      <w:pPr>
        <w:spacing w:line="360" w:lineRule="auto"/>
        <w:ind w:firstLine="480"/>
        <w:rPr>
          <w:rFonts w:hint="eastAsia" w:ascii="宋体" w:hAnsi="宋体" w:eastAsia="宋体" w:cs="宋体"/>
          <w:snapToGrid w:val="0"/>
        </w:rPr>
      </w:pPr>
      <w:r>
        <w:rPr>
          <w:rFonts w:hint="eastAsia" w:ascii="宋体" w:hAnsi="宋体" w:eastAsia="宋体" w:cs="宋体"/>
          <w:snapToGrid w:val="0"/>
        </w:rPr>
        <w:t>本报告的20</w:t>
      </w:r>
      <w:r>
        <w:rPr>
          <w:rFonts w:hint="eastAsia" w:ascii="宋体" w:hAnsi="宋体" w:cs="宋体"/>
          <w:snapToGrid w:val="0"/>
          <w:lang w:val="en-US" w:eastAsia="zh-CN"/>
        </w:rPr>
        <w:t>21</w:t>
      </w:r>
      <w:r>
        <w:rPr>
          <w:rFonts w:hint="eastAsia" w:ascii="宋体" w:hAnsi="宋体" w:eastAsia="宋体" w:cs="宋体"/>
          <w:snapToGrid w:val="0"/>
        </w:rPr>
        <w:t>年或报告期指20</w:t>
      </w:r>
      <w:r>
        <w:rPr>
          <w:rFonts w:hint="eastAsia" w:ascii="宋体" w:hAnsi="宋体" w:cs="宋体"/>
          <w:snapToGrid w:val="0"/>
          <w:lang w:val="en-US" w:eastAsia="zh-CN"/>
        </w:rPr>
        <w:t>21</w:t>
      </w:r>
      <w:r>
        <w:rPr>
          <w:rFonts w:hint="eastAsia" w:ascii="宋体" w:hAnsi="宋体" w:eastAsia="宋体" w:cs="宋体"/>
          <w:snapToGrid w:val="0"/>
        </w:rPr>
        <w:t>年1月1日至20</w:t>
      </w:r>
      <w:r>
        <w:rPr>
          <w:rFonts w:hint="eastAsia" w:ascii="宋体" w:hAnsi="宋体" w:cs="宋体"/>
          <w:snapToGrid w:val="0"/>
          <w:lang w:val="en-US" w:eastAsia="zh-CN"/>
        </w:rPr>
        <w:t>21</w:t>
      </w:r>
      <w:r>
        <w:rPr>
          <w:rFonts w:hint="eastAsia" w:ascii="宋体" w:hAnsi="宋体" w:eastAsia="宋体" w:cs="宋体"/>
          <w:snapToGrid w:val="0"/>
        </w:rPr>
        <w:t>年12月31日。</w:t>
      </w:r>
    </w:p>
    <w:p>
      <w:pPr>
        <w:spacing w:line="360" w:lineRule="auto"/>
        <w:ind w:firstLine="482"/>
        <w:rPr>
          <w:rFonts w:hint="eastAsia" w:ascii="宋体" w:hAnsi="宋体" w:eastAsia="宋体" w:cs="宋体"/>
          <w:b/>
          <w:snapToGrid w:val="0"/>
        </w:rPr>
      </w:pPr>
      <w:r>
        <w:rPr>
          <w:rFonts w:hint="eastAsia" w:ascii="宋体" w:hAnsi="宋体" w:eastAsia="宋体" w:cs="宋体"/>
          <w:b/>
          <w:snapToGrid w:val="0"/>
        </w:rPr>
        <w:t>报告的编写和审定</w:t>
      </w:r>
    </w:p>
    <w:p>
      <w:pPr>
        <w:spacing w:line="360" w:lineRule="auto"/>
        <w:ind w:firstLine="480"/>
        <w:rPr>
          <w:rFonts w:hint="eastAsia" w:ascii="宋体" w:hAnsi="宋体" w:eastAsia="宋体" w:cs="宋体"/>
          <w:snapToGrid w:val="0"/>
        </w:rPr>
      </w:pPr>
      <w:r>
        <w:rPr>
          <w:rFonts w:hint="eastAsia" w:ascii="宋体" w:hAnsi="宋体" w:eastAsia="宋体" w:cs="宋体"/>
          <w:snapToGrid w:val="0"/>
        </w:rPr>
        <w:t>本报告由</w:t>
      </w:r>
      <w:r>
        <w:rPr>
          <w:rFonts w:hint="eastAsia" w:ascii="宋体" w:hAnsi="宋体" w:cs="宋体"/>
          <w:snapToGrid w:val="0"/>
          <w:lang w:eastAsia="zh-CN"/>
        </w:rPr>
        <w:t>哥伦电气有限公司</w:t>
      </w:r>
      <w:r>
        <w:rPr>
          <w:rFonts w:hint="eastAsia" w:ascii="宋体" w:hAnsi="宋体" w:eastAsia="宋体" w:cs="宋体"/>
          <w:snapToGrid w:val="0"/>
        </w:rPr>
        <w:t>编写，由</w:t>
      </w:r>
      <w:r>
        <w:rPr>
          <w:rFonts w:hint="eastAsia" w:ascii="宋体" w:hAnsi="宋体" w:cs="宋体"/>
          <w:snapToGrid w:val="0"/>
          <w:lang w:eastAsia="zh-CN"/>
        </w:rPr>
        <w:t>哥伦电气有限公司</w:t>
      </w:r>
      <w:r>
        <w:rPr>
          <w:rFonts w:hint="eastAsia" w:ascii="宋体" w:hAnsi="宋体" w:eastAsia="宋体" w:cs="宋体"/>
          <w:snapToGrid w:val="0"/>
          <w:lang w:val="en-US" w:eastAsia="zh-CN"/>
        </w:rPr>
        <w:t>董事长</w:t>
      </w:r>
      <w:r>
        <w:rPr>
          <w:rFonts w:hint="eastAsia" w:ascii="宋体" w:hAnsi="宋体" w:eastAsia="宋体" w:cs="宋体"/>
          <w:snapToGrid w:val="0"/>
        </w:rPr>
        <w:t>审定。</w:t>
      </w:r>
    </w:p>
    <w:p>
      <w:pPr>
        <w:spacing w:line="360" w:lineRule="auto"/>
        <w:ind w:firstLine="482"/>
        <w:rPr>
          <w:rFonts w:hint="eastAsia" w:ascii="宋体" w:hAnsi="宋体" w:eastAsia="宋体" w:cs="宋体"/>
          <w:b/>
          <w:snapToGrid w:val="0"/>
        </w:rPr>
      </w:pPr>
      <w:r>
        <w:rPr>
          <w:rFonts w:hint="eastAsia" w:ascii="宋体" w:hAnsi="宋体" w:eastAsia="宋体" w:cs="宋体"/>
          <w:b/>
          <w:snapToGrid w:val="0"/>
        </w:rPr>
        <w:t>组织范围</w:t>
      </w:r>
    </w:p>
    <w:p>
      <w:pPr>
        <w:spacing w:line="360" w:lineRule="auto"/>
        <w:ind w:firstLine="480"/>
        <w:rPr>
          <w:rFonts w:hint="eastAsia" w:ascii="宋体" w:hAnsi="宋体" w:eastAsia="宋体" w:cs="宋体"/>
          <w:snapToGrid w:val="0"/>
        </w:rPr>
      </w:pPr>
      <w:r>
        <w:rPr>
          <w:rFonts w:hint="eastAsia" w:ascii="宋体" w:hAnsi="宋体" w:eastAsia="宋体" w:cs="宋体"/>
          <w:snapToGrid w:val="0"/>
        </w:rPr>
        <w:t>本报告覆盖</w:t>
      </w:r>
      <w:r>
        <w:rPr>
          <w:rFonts w:hint="eastAsia" w:ascii="宋体" w:hAnsi="宋体" w:cs="宋体"/>
          <w:snapToGrid w:val="0"/>
          <w:lang w:eastAsia="zh-CN"/>
        </w:rPr>
        <w:t>哥伦电气有限公司</w:t>
      </w:r>
      <w:r>
        <w:rPr>
          <w:rFonts w:hint="eastAsia" w:ascii="宋体" w:hAnsi="宋体" w:eastAsia="宋体" w:cs="宋体"/>
          <w:snapToGrid w:val="0"/>
        </w:rPr>
        <w:t>。</w:t>
      </w:r>
    </w:p>
    <w:p>
      <w:pPr>
        <w:spacing w:line="360" w:lineRule="auto"/>
        <w:ind w:firstLine="482"/>
        <w:rPr>
          <w:rFonts w:hint="eastAsia" w:ascii="宋体" w:hAnsi="宋体" w:eastAsia="宋体" w:cs="宋体"/>
          <w:b/>
          <w:snapToGrid w:val="0"/>
        </w:rPr>
      </w:pPr>
      <w:r>
        <w:rPr>
          <w:rFonts w:hint="eastAsia" w:ascii="宋体" w:hAnsi="宋体" w:eastAsia="宋体" w:cs="宋体"/>
          <w:b/>
          <w:snapToGrid w:val="0"/>
        </w:rPr>
        <w:t>报告发布</w:t>
      </w:r>
    </w:p>
    <w:p>
      <w:pPr>
        <w:spacing w:line="360" w:lineRule="auto"/>
        <w:ind w:firstLine="480"/>
        <w:rPr>
          <w:rFonts w:hint="eastAsia" w:ascii="宋体" w:hAnsi="宋体" w:eastAsia="宋体" w:cs="宋体"/>
          <w:snapToGrid w:val="0"/>
        </w:rPr>
      </w:pPr>
      <w:r>
        <w:rPr>
          <w:rFonts w:hint="eastAsia" w:ascii="宋体" w:hAnsi="宋体" w:eastAsia="宋体" w:cs="宋体"/>
          <w:snapToGrid w:val="0"/>
        </w:rPr>
        <w:t>本报告以电子版形式发布，可在</w:t>
      </w:r>
      <w:r>
        <w:rPr>
          <w:rFonts w:hint="eastAsia" w:ascii="宋体" w:hAnsi="宋体" w:cs="宋体"/>
          <w:snapToGrid w:val="0"/>
          <w:lang w:eastAsia="zh-CN"/>
        </w:rPr>
        <w:t>哥伦电气有限公司</w:t>
      </w:r>
      <w:r>
        <w:rPr>
          <w:rFonts w:hint="eastAsia" w:ascii="宋体" w:hAnsi="宋体" w:eastAsia="宋体" w:cs="宋体"/>
          <w:snapToGrid w:val="0"/>
        </w:rPr>
        <w:t>官网（http://www.gret.cn/）查阅与下载。</w:t>
      </w:r>
    </w:p>
    <w:p>
      <w:pPr>
        <w:adjustRightInd/>
        <w:snapToGrid/>
        <w:spacing w:after="200" w:line="220" w:lineRule="atLeast"/>
        <w:ind w:firstLine="0" w:firstLineChars="0"/>
        <w:jc w:val="left"/>
        <w:rPr>
          <w:rFonts w:hint="eastAsia" w:ascii="宋体" w:hAnsi="宋体" w:eastAsia="宋体" w:cs="宋体"/>
        </w:rPr>
      </w:pPr>
      <w:r>
        <w:rPr>
          <w:rFonts w:hint="eastAsia" w:ascii="宋体" w:hAnsi="宋体" w:eastAsia="宋体" w:cs="宋体"/>
        </w:rPr>
        <w:br w:type="page"/>
      </w:r>
    </w:p>
    <w:sdt>
      <w:sdtPr>
        <w:rPr>
          <w:rFonts w:hint="eastAsia" w:ascii="宋体" w:hAnsi="宋体" w:eastAsia="宋体" w:cs="宋体"/>
          <w:sz w:val="21"/>
          <w:szCs w:val="22"/>
          <w:lang w:val="en-US" w:eastAsia="zh-CN" w:bidi="ar-SA"/>
        </w:rPr>
        <w:id w:val="147459170"/>
        <w15:color w:val="DBDBDB"/>
        <w:docPartObj>
          <w:docPartGallery w:val="Table of Contents"/>
          <w:docPartUnique/>
        </w:docPartObj>
      </w:sdtPr>
      <w:sdtEndPr>
        <w:rPr>
          <w:rFonts w:hint="eastAsia" w:ascii="宋体" w:hAnsi="宋体" w:eastAsia="宋体" w:cs="宋体"/>
          <w:b/>
          <w:sz w:val="24"/>
          <w:szCs w:val="30"/>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40"/>
              <w:szCs w:val="44"/>
            </w:rPr>
            <w:t>目录</w:t>
          </w:r>
        </w:p>
        <w:p>
          <w:pPr>
            <w:pStyle w:val="17"/>
            <w:tabs>
              <w:tab w:val="right" w:leader="dot" w:pos="8306"/>
            </w:tabs>
          </w:pP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TOC \o "1-2" \h \u </w:instrText>
          </w:r>
          <w:r>
            <w:rPr>
              <w:rFonts w:hint="eastAsia" w:ascii="宋体" w:hAnsi="宋体" w:eastAsia="宋体" w:cs="宋体"/>
              <w:sz w:val="30"/>
              <w:szCs w:val="30"/>
            </w:rPr>
            <w:fldChar w:fldCharType="separate"/>
          </w:r>
          <w:r>
            <w:rPr>
              <w:rFonts w:hint="eastAsia" w:ascii="宋体" w:hAnsi="宋体" w:eastAsia="宋体" w:cs="宋体"/>
              <w:szCs w:val="30"/>
            </w:rPr>
            <w:fldChar w:fldCharType="begin"/>
          </w:r>
          <w:r>
            <w:rPr>
              <w:rFonts w:hint="eastAsia" w:ascii="宋体" w:hAnsi="宋体" w:eastAsia="宋体" w:cs="宋体"/>
              <w:szCs w:val="30"/>
            </w:rPr>
            <w:instrText xml:space="preserve"> HYPERLINK \l _Toc19136 </w:instrText>
          </w:r>
          <w:r>
            <w:rPr>
              <w:rFonts w:hint="eastAsia" w:ascii="宋体" w:hAnsi="宋体" w:eastAsia="宋体" w:cs="宋体"/>
              <w:szCs w:val="30"/>
            </w:rPr>
            <w:fldChar w:fldCharType="separate"/>
          </w:r>
          <w:r>
            <w:rPr>
              <w:rFonts w:hint="eastAsia" w:ascii="宋体" w:hAnsi="宋体" w:eastAsia="宋体" w:cs="宋体"/>
              <w:szCs w:val="30"/>
            </w:rPr>
            <w:t>第一章  关于</w:t>
          </w:r>
          <w:r>
            <w:rPr>
              <w:rFonts w:hint="eastAsia" w:ascii="宋体" w:hAnsi="宋体" w:cs="宋体"/>
              <w:szCs w:val="30"/>
              <w:lang w:val="en-US" w:eastAsia="zh-CN"/>
            </w:rPr>
            <w:t>哥伦</w:t>
          </w:r>
          <w:r>
            <w:tab/>
          </w:r>
          <w:r>
            <w:fldChar w:fldCharType="begin"/>
          </w:r>
          <w:r>
            <w:instrText xml:space="preserve"> PAGEREF _Toc19136 </w:instrText>
          </w:r>
          <w:r>
            <w:fldChar w:fldCharType="separate"/>
          </w:r>
          <w:r>
            <w:t>4</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_Toc8902 </w:instrText>
          </w:r>
          <w:r>
            <w:rPr>
              <w:rFonts w:hint="eastAsia" w:ascii="宋体" w:hAnsi="宋体" w:eastAsia="宋体" w:cs="宋体"/>
              <w:szCs w:val="30"/>
            </w:rPr>
            <w:fldChar w:fldCharType="separate"/>
          </w:r>
          <w:r>
            <w:rPr>
              <w:rFonts w:hint="eastAsia" w:ascii="宋体" w:hAnsi="宋体" w:eastAsia="宋体" w:cs="宋体"/>
            </w:rPr>
            <w:t>一、公司概况</w:t>
          </w:r>
          <w:r>
            <w:tab/>
          </w:r>
          <w:r>
            <w:fldChar w:fldCharType="begin"/>
          </w:r>
          <w:r>
            <w:instrText xml:space="preserve"> PAGEREF _Toc8902 </w:instrText>
          </w:r>
          <w:r>
            <w:fldChar w:fldCharType="separate"/>
          </w:r>
          <w:r>
            <w:t>4</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_Toc7686 </w:instrText>
          </w:r>
          <w:r>
            <w:rPr>
              <w:rFonts w:hint="eastAsia" w:ascii="宋体" w:hAnsi="宋体" w:eastAsia="宋体" w:cs="宋体"/>
              <w:szCs w:val="30"/>
            </w:rPr>
            <w:fldChar w:fldCharType="separate"/>
          </w:r>
          <w:r>
            <w:rPr>
              <w:rFonts w:hint="eastAsia" w:ascii="宋体" w:hAnsi="宋体" w:eastAsia="宋体" w:cs="宋体"/>
            </w:rPr>
            <w:t>（一）公司简介</w:t>
          </w:r>
          <w:r>
            <w:tab/>
          </w:r>
          <w:r>
            <w:fldChar w:fldCharType="begin"/>
          </w:r>
          <w:r>
            <w:instrText xml:space="preserve"> PAGEREF _Toc7686 </w:instrText>
          </w:r>
          <w:r>
            <w:fldChar w:fldCharType="separate"/>
          </w:r>
          <w:r>
            <w:t>4</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_Toc19198 </w:instrText>
          </w:r>
          <w:r>
            <w:rPr>
              <w:rFonts w:hint="eastAsia" w:ascii="宋体" w:hAnsi="宋体" w:eastAsia="宋体" w:cs="宋体"/>
              <w:szCs w:val="30"/>
            </w:rPr>
            <w:fldChar w:fldCharType="separate"/>
          </w:r>
          <w:r>
            <w:rPr>
              <w:rFonts w:hint="eastAsia" w:ascii="宋体" w:hAnsi="宋体" w:eastAsia="宋体" w:cs="宋体"/>
            </w:rPr>
            <w:t>（二）组织架构</w:t>
          </w:r>
          <w:r>
            <w:tab/>
          </w:r>
          <w:r>
            <w:fldChar w:fldCharType="begin"/>
          </w:r>
          <w:r>
            <w:instrText xml:space="preserve"> PAGEREF _Toc19198 </w:instrText>
          </w:r>
          <w:r>
            <w:fldChar w:fldCharType="separate"/>
          </w:r>
          <w:r>
            <w:t>5</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_Toc11742 </w:instrText>
          </w:r>
          <w:r>
            <w:rPr>
              <w:rFonts w:hint="eastAsia" w:ascii="宋体" w:hAnsi="宋体" w:eastAsia="宋体" w:cs="宋体"/>
              <w:szCs w:val="30"/>
            </w:rPr>
            <w:fldChar w:fldCharType="separate"/>
          </w:r>
          <w:r>
            <w:rPr>
              <w:rFonts w:hint="eastAsia" w:ascii="宋体" w:hAnsi="宋体" w:eastAsia="宋体" w:cs="宋体"/>
            </w:rPr>
            <w:t>（三）发展战略</w:t>
          </w:r>
          <w:r>
            <w:tab/>
          </w:r>
          <w:r>
            <w:fldChar w:fldCharType="begin"/>
          </w:r>
          <w:r>
            <w:instrText xml:space="preserve"> PAGEREF _Toc11742 </w:instrText>
          </w:r>
          <w:r>
            <w:fldChar w:fldCharType="separate"/>
          </w:r>
          <w:r>
            <w:t>6</w:t>
          </w:r>
          <w:r>
            <w:fldChar w:fldCharType="end"/>
          </w:r>
          <w:r>
            <w:rPr>
              <w:rFonts w:hint="eastAsia" w:ascii="宋体" w:hAnsi="宋体" w:eastAsia="宋体" w:cs="宋体"/>
              <w:szCs w:val="30"/>
            </w:rPr>
            <w:fldChar w:fldCharType="end"/>
          </w:r>
        </w:p>
        <w:p>
          <w:pPr>
            <w:pStyle w:val="17"/>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_Toc13852 </w:instrText>
          </w:r>
          <w:r>
            <w:rPr>
              <w:rFonts w:hint="eastAsia" w:ascii="宋体" w:hAnsi="宋体" w:eastAsia="宋体" w:cs="宋体"/>
              <w:szCs w:val="30"/>
            </w:rPr>
            <w:fldChar w:fldCharType="separate"/>
          </w:r>
          <w:r>
            <w:rPr>
              <w:rFonts w:hint="eastAsia" w:ascii="宋体" w:hAnsi="宋体" w:eastAsia="宋体" w:cs="宋体"/>
            </w:rPr>
            <w:t>二、 企业治理</w:t>
          </w:r>
          <w:r>
            <w:tab/>
          </w:r>
          <w:r>
            <w:fldChar w:fldCharType="begin"/>
          </w:r>
          <w:r>
            <w:instrText xml:space="preserve"> PAGEREF _Toc13852 </w:instrText>
          </w:r>
          <w:r>
            <w:fldChar w:fldCharType="separate"/>
          </w:r>
          <w:r>
            <w:t>11</w:t>
          </w:r>
          <w:r>
            <w:fldChar w:fldCharType="end"/>
          </w:r>
          <w:r>
            <w:rPr>
              <w:rFonts w:hint="eastAsia" w:ascii="宋体" w:hAnsi="宋体" w:eastAsia="宋体" w:cs="宋体"/>
              <w:szCs w:val="30"/>
            </w:rPr>
            <w:fldChar w:fldCharType="end"/>
          </w:r>
        </w:p>
        <w:p>
          <w:pPr>
            <w:pStyle w:val="17"/>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_Toc53 </w:instrText>
          </w:r>
          <w:r>
            <w:rPr>
              <w:rFonts w:hint="eastAsia" w:ascii="宋体" w:hAnsi="宋体" w:eastAsia="宋体" w:cs="宋体"/>
              <w:szCs w:val="30"/>
            </w:rPr>
            <w:fldChar w:fldCharType="separate"/>
          </w:r>
          <w:r>
            <w:rPr>
              <w:rFonts w:hint="eastAsia" w:ascii="宋体" w:hAnsi="宋体" w:eastAsia="宋体" w:cs="宋体"/>
            </w:rPr>
            <w:t>三、 企业文化</w:t>
          </w:r>
          <w:r>
            <w:tab/>
          </w:r>
          <w:r>
            <w:fldChar w:fldCharType="begin"/>
          </w:r>
          <w:r>
            <w:instrText xml:space="preserve"> PAGEREF _Toc53 </w:instrText>
          </w:r>
          <w:r>
            <w:fldChar w:fldCharType="separate"/>
          </w:r>
          <w:r>
            <w:t>11</w:t>
          </w:r>
          <w:r>
            <w:fldChar w:fldCharType="end"/>
          </w:r>
          <w:r>
            <w:rPr>
              <w:rFonts w:hint="eastAsia" w:ascii="宋体" w:hAnsi="宋体" w:eastAsia="宋体" w:cs="宋体"/>
              <w:szCs w:val="30"/>
            </w:rPr>
            <w:fldChar w:fldCharType="end"/>
          </w:r>
        </w:p>
        <w:p>
          <w:pPr>
            <w:pStyle w:val="17"/>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_Toc22814 </w:instrText>
          </w:r>
          <w:r>
            <w:rPr>
              <w:rFonts w:hint="eastAsia" w:ascii="宋体" w:hAnsi="宋体" w:eastAsia="宋体" w:cs="宋体"/>
              <w:szCs w:val="30"/>
            </w:rPr>
            <w:fldChar w:fldCharType="separate"/>
          </w:r>
          <w:r>
            <w:rPr>
              <w:rFonts w:hint="eastAsia" w:ascii="宋体" w:hAnsi="宋体" w:eastAsia="宋体" w:cs="宋体"/>
            </w:rPr>
            <w:t xml:space="preserve">四、 </w:t>
          </w:r>
          <w:r>
            <w:rPr>
              <w:rFonts w:hint="eastAsia" w:ascii="宋体" w:hAnsi="宋体" w:eastAsia="宋体" w:cs="宋体"/>
              <w:lang w:val="en-US" w:eastAsia="zh-CN"/>
            </w:rPr>
            <w:t>近期</w:t>
          </w:r>
          <w:r>
            <w:rPr>
              <w:rFonts w:hint="eastAsia" w:ascii="宋体" w:hAnsi="宋体" w:eastAsia="宋体" w:cs="宋体"/>
            </w:rPr>
            <w:t>所获荣誉</w:t>
          </w:r>
          <w:r>
            <w:tab/>
          </w:r>
          <w:r>
            <w:fldChar w:fldCharType="begin"/>
          </w:r>
          <w:r>
            <w:instrText xml:space="preserve"> PAGEREF _Toc22814 </w:instrText>
          </w:r>
          <w:r>
            <w:fldChar w:fldCharType="separate"/>
          </w:r>
          <w:r>
            <w:t>12</w:t>
          </w:r>
          <w:r>
            <w:fldChar w:fldCharType="end"/>
          </w:r>
          <w:r>
            <w:rPr>
              <w:rFonts w:hint="eastAsia" w:ascii="宋体" w:hAnsi="宋体" w:eastAsia="宋体" w:cs="宋体"/>
              <w:szCs w:val="30"/>
            </w:rPr>
            <w:fldChar w:fldCharType="end"/>
          </w:r>
        </w:p>
        <w:p>
          <w:pPr>
            <w:pStyle w:val="17"/>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_Toc18873 </w:instrText>
          </w:r>
          <w:r>
            <w:rPr>
              <w:rFonts w:hint="eastAsia" w:ascii="宋体" w:hAnsi="宋体" w:eastAsia="宋体" w:cs="宋体"/>
              <w:szCs w:val="30"/>
            </w:rPr>
            <w:fldChar w:fldCharType="separate"/>
          </w:r>
          <w:r>
            <w:rPr>
              <w:rFonts w:hint="eastAsia" w:ascii="宋体" w:hAnsi="宋体" w:eastAsia="宋体" w:cs="宋体"/>
            </w:rPr>
            <w:t>五、 社会责任</w:t>
          </w:r>
          <w:r>
            <w:tab/>
          </w:r>
          <w:r>
            <w:fldChar w:fldCharType="begin"/>
          </w:r>
          <w:r>
            <w:instrText xml:space="preserve"> PAGEREF _Toc18873 </w:instrText>
          </w:r>
          <w:r>
            <w:fldChar w:fldCharType="separate"/>
          </w:r>
          <w:r>
            <w:t>12</w:t>
          </w:r>
          <w:r>
            <w:fldChar w:fldCharType="end"/>
          </w:r>
          <w:r>
            <w:rPr>
              <w:rFonts w:hint="eastAsia" w:ascii="宋体" w:hAnsi="宋体" w:eastAsia="宋体" w:cs="宋体"/>
              <w:szCs w:val="30"/>
            </w:rPr>
            <w:fldChar w:fldCharType="end"/>
          </w:r>
        </w:p>
        <w:p>
          <w:pPr>
            <w:pStyle w:val="17"/>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_Toc25367 </w:instrText>
          </w:r>
          <w:r>
            <w:rPr>
              <w:rFonts w:hint="eastAsia" w:ascii="宋体" w:hAnsi="宋体" w:eastAsia="宋体" w:cs="宋体"/>
              <w:szCs w:val="30"/>
            </w:rPr>
            <w:fldChar w:fldCharType="separate"/>
          </w:r>
          <w:r>
            <w:rPr>
              <w:rFonts w:hint="eastAsia" w:ascii="宋体" w:hAnsi="宋体" w:eastAsia="宋体" w:cs="宋体"/>
              <w:szCs w:val="30"/>
            </w:rPr>
            <w:t>第二章  安全生产</w:t>
          </w:r>
          <w:r>
            <w:tab/>
          </w:r>
          <w:r>
            <w:fldChar w:fldCharType="begin"/>
          </w:r>
          <w:r>
            <w:instrText xml:space="preserve"> PAGEREF _Toc25367 </w:instrText>
          </w:r>
          <w:r>
            <w:fldChar w:fldCharType="separate"/>
          </w:r>
          <w:r>
            <w:t>14</w:t>
          </w:r>
          <w:r>
            <w:fldChar w:fldCharType="end"/>
          </w:r>
          <w:r>
            <w:rPr>
              <w:rFonts w:hint="eastAsia" w:ascii="宋体" w:hAnsi="宋体" w:eastAsia="宋体" w:cs="宋体"/>
              <w:szCs w:val="30"/>
            </w:rPr>
            <w:fldChar w:fldCharType="end"/>
          </w:r>
        </w:p>
        <w:p>
          <w:pPr>
            <w:pStyle w:val="17"/>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_Toc32221 </w:instrText>
          </w:r>
          <w:r>
            <w:rPr>
              <w:rFonts w:hint="eastAsia" w:ascii="宋体" w:hAnsi="宋体" w:eastAsia="宋体" w:cs="宋体"/>
              <w:szCs w:val="30"/>
            </w:rPr>
            <w:fldChar w:fldCharType="separate"/>
          </w:r>
          <w:r>
            <w:rPr>
              <w:rFonts w:hint="eastAsia" w:ascii="宋体" w:hAnsi="宋体" w:eastAsia="宋体" w:cs="宋体"/>
            </w:rPr>
            <w:t>一、组织体系</w:t>
          </w:r>
          <w:r>
            <w:tab/>
          </w:r>
          <w:r>
            <w:fldChar w:fldCharType="begin"/>
          </w:r>
          <w:r>
            <w:instrText xml:space="preserve"> PAGEREF _Toc32221 </w:instrText>
          </w:r>
          <w:r>
            <w:fldChar w:fldCharType="separate"/>
          </w:r>
          <w:r>
            <w:t>14</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_Toc16277 </w:instrText>
          </w:r>
          <w:r>
            <w:rPr>
              <w:rFonts w:hint="eastAsia" w:ascii="宋体" w:hAnsi="宋体" w:eastAsia="宋体" w:cs="宋体"/>
              <w:szCs w:val="30"/>
            </w:rPr>
            <w:fldChar w:fldCharType="separate"/>
          </w:r>
          <w:r>
            <w:rPr>
              <w:rFonts w:hint="eastAsia" w:ascii="宋体" w:hAnsi="宋体" w:eastAsia="宋体" w:cs="宋体"/>
              <w:bCs/>
              <w:kern w:val="44"/>
              <w:szCs w:val="44"/>
            </w:rPr>
            <w:t>二、安全、健康因素的识别和措施</w:t>
          </w:r>
          <w:r>
            <w:tab/>
          </w:r>
          <w:r>
            <w:fldChar w:fldCharType="begin"/>
          </w:r>
          <w:r>
            <w:instrText xml:space="preserve"> PAGEREF _Toc16277 </w:instrText>
          </w:r>
          <w:r>
            <w:fldChar w:fldCharType="separate"/>
          </w:r>
          <w:r>
            <w:t>14</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_Toc12351 </w:instrText>
          </w:r>
          <w:r>
            <w:rPr>
              <w:rFonts w:hint="eastAsia" w:ascii="宋体" w:hAnsi="宋体" w:eastAsia="宋体" w:cs="宋体"/>
              <w:szCs w:val="30"/>
            </w:rPr>
            <w:fldChar w:fldCharType="separate"/>
          </w:r>
          <w:r>
            <w:rPr>
              <w:rFonts w:hint="eastAsia" w:ascii="宋体" w:hAnsi="宋体" w:eastAsia="宋体" w:cs="宋体"/>
              <w:bCs/>
              <w:kern w:val="44"/>
              <w:szCs w:val="44"/>
            </w:rPr>
            <w:t>三、安全责任落实</w:t>
          </w:r>
          <w:r>
            <w:tab/>
          </w:r>
          <w:r>
            <w:fldChar w:fldCharType="begin"/>
          </w:r>
          <w:r>
            <w:instrText xml:space="preserve"> PAGEREF _Toc12351 </w:instrText>
          </w:r>
          <w:r>
            <w:fldChar w:fldCharType="separate"/>
          </w:r>
          <w:r>
            <w:t>15</w:t>
          </w:r>
          <w:r>
            <w:fldChar w:fldCharType="end"/>
          </w:r>
          <w:r>
            <w:rPr>
              <w:rFonts w:hint="eastAsia" w:ascii="宋体" w:hAnsi="宋体" w:eastAsia="宋体" w:cs="宋体"/>
              <w:szCs w:val="30"/>
            </w:rPr>
            <w:fldChar w:fldCharType="end"/>
          </w:r>
        </w:p>
        <w:p>
          <w:pPr>
            <w:pStyle w:val="17"/>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_Toc14590 </w:instrText>
          </w:r>
          <w:r>
            <w:rPr>
              <w:rFonts w:hint="eastAsia" w:ascii="宋体" w:hAnsi="宋体" w:eastAsia="宋体" w:cs="宋体"/>
              <w:szCs w:val="30"/>
            </w:rPr>
            <w:fldChar w:fldCharType="separate"/>
          </w:r>
          <w:r>
            <w:rPr>
              <w:rFonts w:hint="eastAsia" w:ascii="宋体" w:hAnsi="宋体" w:eastAsia="宋体" w:cs="宋体"/>
              <w:szCs w:val="30"/>
            </w:rPr>
            <w:t>第三章 聚焦环境，创造绿色</w:t>
          </w:r>
          <w:r>
            <w:rPr>
              <w:rFonts w:hint="eastAsia" w:ascii="宋体" w:hAnsi="宋体" w:cs="宋体"/>
              <w:szCs w:val="30"/>
              <w:lang w:eastAsia="zh-CN"/>
            </w:rPr>
            <w:t>哥伦</w:t>
          </w:r>
          <w:r>
            <w:tab/>
          </w:r>
          <w:r>
            <w:fldChar w:fldCharType="begin"/>
          </w:r>
          <w:r>
            <w:instrText xml:space="preserve"> PAGEREF _Toc14590 </w:instrText>
          </w:r>
          <w:r>
            <w:fldChar w:fldCharType="separate"/>
          </w:r>
          <w:r>
            <w:t>16</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_Toc23038 </w:instrText>
          </w:r>
          <w:r>
            <w:rPr>
              <w:rFonts w:hint="eastAsia" w:ascii="宋体" w:hAnsi="宋体" w:eastAsia="宋体" w:cs="宋体"/>
              <w:szCs w:val="30"/>
            </w:rPr>
            <w:fldChar w:fldCharType="separate"/>
          </w:r>
          <w:r>
            <w:rPr>
              <w:rFonts w:hint="eastAsia" w:ascii="宋体" w:hAnsi="宋体" w:eastAsia="宋体" w:cs="宋体"/>
              <w:bCs/>
              <w:kern w:val="44"/>
              <w:szCs w:val="44"/>
            </w:rPr>
            <w:t>一、环保理念</w:t>
          </w:r>
          <w:r>
            <w:tab/>
          </w:r>
          <w:r>
            <w:fldChar w:fldCharType="begin"/>
          </w:r>
          <w:r>
            <w:instrText xml:space="preserve"> PAGEREF _Toc23038 </w:instrText>
          </w:r>
          <w:r>
            <w:fldChar w:fldCharType="separate"/>
          </w:r>
          <w:r>
            <w:t>16</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_Toc8953 </w:instrText>
          </w:r>
          <w:r>
            <w:rPr>
              <w:rFonts w:hint="eastAsia" w:ascii="宋体" w:hAnsi="宋体" w:eastAsia="宋体" w:cs="宋体"/>
              <w:szCs w:val="30"/>
            </w:rPr>
            <w:fldChar w:fldCharType="separate"/>
          </w:r>
          <w:r>
            <w:rPr>
              <w:rFonts w:hint="eastAsia" w:ascii="宋体" w:hAnsi="宋体" w:eastAsia="宋体" w:cs="宋体"/>
              <w:bCs/>
              <w:kern w:val="44"/>
              <w:szCs w:val="44"/>
            </w:rPr>
            <w:t>二、绿色改造大行动</w:t>
          </w:r>
          <w:r>
            <w:tab/>
          </w:r>
          <w:r>
            <w:fldChar w:fldCharType="begin"/>
          </w:r>
          <w:r>
            <w:instrText xml:space="preserve"> PAGEREF _Toc8953 </w:instrText>
          </w:r>
          <w:r>
            <w:fldChar w:fldCharType="separate"/>
          </w:r>
          <w:r>
            <w:t>16</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_Toc27392 </w:instrText>
          </w:r>
          <w:r>
            <w:rPr>
              <w:rFonts w:hint="eastAsia" w:ascii="宋体" w:hAnsi="宋体" w:eastAsia="宋体" w:cs="宋体"/>
              <w:szCs w:val="30"/>
            </w:rPr>
            <w:fldChar w:fldCharType="separate"/>
          </w:r>
          <w:r>
            <w:rPr>
              <w:rFonts w:hint="eastAsia" w:ascii="宋体" w:hAnsi="宋体" w:eastAsia="宋体" w:cs="宋体"/>
              <w:bCs/>
              <w:kern w:val="44"/>
              <w:szCs w:val="44"/>
            </w:rPr>
            <w:t>三、积极节能减排</w:t>
          </w:r>
          <w:r>
            <w:tab/>
          </w:r>
          <w:r>
            <w:fldChar w:fldCharType="begin"/>
          </w:r>
          <w:r>
            <w:instrText xml:space="preserve"> PAGEREF _Toc27392 </w:instrText>
          </w:r>
          <w:r>
            <w:fldChar w:fldCharType="separate"/>
          </w:r>
          <w:r>
            <w:t>17</w:t>
          </w:r>
          <w:r>
            <w:fldChar w:fldCharType="end"/>
          </w:r>
          <w:r>
            <w:rPr>
              <w:rFonts w:hint="eastAsia" w:ascii="宋体" w:hAnsi="宋体" w:eastAsia="宋体" w:cs="宋体"/>
              <w:szCs w:val="30"/>
            </w:rPr>
            <w:fldChar w:fldCharType="end"/>
          </w:r>
        </w:p>
        <w:p>
          <w:pPr>
            <w:pStyle w:val="17"/>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_Toc30001 </w:instrText>
          </w:r>
          <w:r>
            <w:rPr>
              <w:rFonts w:hint="eastAsia" w:ascii="宋体" w:hAnsi="宋体" w:eastAsia="宋体" w:cs="宋体"/>
              <w:szCs w:val="30"/>
            </w:rPr>
            <w:fldChar w:fldCharType="separate"/>
          </w:r>
          <w:r>
            <w:rPr>
              <w:rFonts w:hint="eastAsia" w:ascii="宋体" w:hAnsi="宋体" w:eastAsia="宋体" w:cs="宋体"/>
              <w:szCs w:val="30"/>
            </w:rPr>
            <w:t>第四章  携手员工，共享发展</w:t>
          </w:r>
          <w:r>
            <w:tab/>
          </w:r>
          <w:r>
            <w:fldChar w:fldCharType="begin"/>
          </w:r>
          <w:r>
            <w:instrText xml:space="preserve"> PAGEREF _Toc30001 </w:instrText>
          </w:r>
          <w:r>
            <w:fldChar w:fldCharType="separate"/>
          </w:r>
          <w:r>
            <w:t>19</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_Toc3648 </w:instrText>
          </w:r>
          <w:r>
            <w:rPr>
              <w:rFonts w:hint="eastAsia" w:ascii="宋体" w:hAnsi="宋体" w:eastAsia="宋体" w:cs="宋体"/>
              <w:szCs w:val="30"/>
            </w:rPr>
            <w:fldChar w:fldCharType="separate"/>
          </w:r>
          <w:r>
            <w:rPr>
              <w:rFonts w:hint="eastAsia" w:ascii="宋体" w:hAnsi="宋体" w:eastAsia="宋体" w:cs="宋体"/>
              <w:bCs/>
              <w:kern w:val="44"/>
              <w:szCs w:val="44"/>
            </w:rPr>
            <w:t>一、员工权益保障</w:t>
          </w:r>
          <w:r>
            <w:tab/>
          </w:r>
          <w:r>
            <w:fldChar w:fldCharType="begin"/>
          </w:r>
          <w:r>
            <w:instrText xml:space="preserve"> PAGEREF _Toc3648 </w:instrText>
          </w:r>
          <w:r>
            <w:fldChar w:fldCharType="separate"/>
          </w:r>
          <w:r>
            <w:t>19</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_Toc16606 </w:instrText>
          </w:r>
          <w:r>
            <w:rPr>
              <w:rFonts w:hint="eastAsia" w:ascii="宋体" w:hAnsi="宋体" w:eastAsia="宋体" w:cs="宋体"/>
              <w:szCs w:val="30"/>
            </w:rPr>
            <w:fldChar w:fldCharType="separate"/>
          </w:r>
          <w:r>
            <w:rPr>
              <w:rFonts w:hint="eastAsia" w:ascii="宋体" w:hAnsi="宋体" w:eastAsia="宋体" w:cs="宋体"/>
              <w:bCs/>
              <w:kern w:val="44"/>
              <w:szCs w:val="44"/>
            </w:rPr>
            <w:t>二、员工培训和教育</w:t>
          </w:r>
          <w:r>
            <w:tab/>
          </w:r>
          <w:r>
            <w:fldChar w:fldCharType="begin"/>
          </w:r>
          <w:r>
            <w:instrText xml:space="preserve"> PAGEREF _Toc16606 </w:instrText>
          </w:r>
          <w:r>
            <w:fldChar w:fldCharType="separate"/>
          </w:r>
          <w:r>
            <w:t>20</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_Toc400 </w:instrText>
          </w:r>
          <w:r>
            <w:rPr>
              <w:rFonts w:hint="eastAsia" w:ascii="宋体" w:hAnsi="宋体" w:eastAsia="宋体" w:cs="宋体"/>
              <w:szCs w:val="30"/>
            </w:rPr>
            <w:fldChar w:fldCharType="separate"/>
          </w:r>
          <w:r>
            <w:rPr>
              <w:rFonts w:hint="eastAsia" w:ascii="宋体" w:hAnsi="宋体" w:eastAsia="宋体" w:cs="宋体"/>
              <w:bCs/>
              <w:kern w:val="44"/>
              <w:szCs w:val="44"/>
            </w:rPr>
            <w:t>三、全心全意关爱员工</w:t>
          </w:r>
          <w:r>
            <w:tab/>
          </w:r>
          <w:r>
            <w:fldChar w:fldCharType="begin"/>
          </w:r>
          <w:r>
            <w:instrText xml:space="preserve"> PAGEREF _Toc400 </w:instrText>
          </w:r>
          <w:r>
            <w:fldChar w:fldCharType="separate"/>
          </w:r>
          <w:r>
            <w:t>21</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_Toc4 </w:instrText>
          </w:r>
          <w:r>
            <w:rPr>
              <w:rFonts w:hint="eastAsia" w:ascii="宋体" w:hAnsi="宋体" w:eastAsia="宋体" w:cs="宋体"/>
              <w:szCs w:val="30"/>
            </w:rPr>
            <w:fldChar w:fldCharType="separate"/>
          </w:r>
          <w:r>
            <w:rPr>
              <w:rFonts w:hint="eastAsia" w:ascii="宋体" w:hAnsi="宋体" w:eastAsia="宋体" w:cs="宋体"/>
              <w:bCs/>
              <w:kern w:val="44"/>
              <w:szCs w:val="44"/>
            </w:rPr>
            <w:t>四、丰富员工业余生活</w:t>
          </w:r>
          <w:r>
            <w:tab/>
          </w:r>
          <w:r>
            <w:fldChar w:fldCharType="begin"/>
          </w:r>
          <w:r>
            <w:instrText xml:space="preserve"> PAGEREF _Toc4 </w:instrText>
          </w:r>
          <w:r>
            <w:fldChar w:fldCharType="separate"/>
          </w:r>
          <w:r>
            <w:t>21</w:t>
          </w:r>
          <w:r>
            <w:fldChar w:fldCharType="end"/>
          </w:r>
          <w:r>
            <w:rPr>
              <w:rFonts w:hint="eastAsia" w:ascii="宋体" w:hAnsi="宋体" w:eastAsia="宋体" w:cs="宋体"/>
              <w:szCs w:val="30"/>
            </w:rPr>
            <w:fldChar w:fldCharType="end"/>
          </w:r>
        </w:p>
        <w:p>
          <w:pPr>
            <w:pStyle w:val="17"/>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_Toc9340 </w:instrText>
          </w:r>
          <w:r>
            <w:rPr>
              <w:rFonts w:hint="eastAsia" w:ascii="宋体" w:hAnsi="宋体" w:eastAsia="宋体" w:cs="宋体"/>
              <w:szCs w:val="30"/>
            </w:rPr>
            <w:fldChar w:fldCharType="separate"/>
          </w:r>
          <w:r>
            <w:rPr>
              <w:rFonts w:hint="eastAsia" w:ascii="宋体" w:hAnsi="宋体" w:eastAsia="宋体" w:cs="宋体"/>
              <w:szCs w:val="30"/>
            </w:rPr>
            <w:t>第五章  社会公益</w:t>
          </w:r>
          <w:r>
            <w:tab/>
          </w:r>
          <w:r>
            <w:fldChar w:fldCharType="begin"/>
          </w:r>
          <w:r>
            <w:instrText xml:space="preserve"> PAGEREF _Toc9340 </w:instrText>
          </w:r>
          <w:r>
            <w:fldChar w:fldCharType="separate"/>
          </w:r>
          <w:r>
            <w:t>23</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_Toc29514 </w:instrText>
          </w:r>
          <w:r>
            <w:rPr>
              <w:rFonts w:hint="eastAsia" w:ascii="宋体" w:hAnsi="宋体" w:eastAsia="宋体" w:cs="宋体"/>
              <w:szCs w:val="30"/>
            </w:rPr>
            <w:fldChar w:fldCharType="separate"/>
          </w:r>
          <w:r>
            <w:rPr>
              <w:rFonts w:hint="eastAsia" w:ascii="宋体" w:hAnsi="宋体" w:eastAsia="宋体" w:cs="宋体"/>
              <w:bCs/>
              <w:kern w:val="44"/>
              <w:szCs w:val="44"/>
            </w:rPr>
            <w:t>一、合法经营，依法纳税</w:t>
          </w:r>
          <w:r>
            <w:tab/>
          </w:r>
          <w:r>
            <w:fldChar w:fldCharType="begin"/>
          </w:r>
          <w:r>
            <w:instrText xml:space="preserve"> PAGEREF _Toc29514 </w:instrText>
          </w:r>
          <w:r>
            <w:fldChar w:fldCharType="separate"/>
          </w:r>
          <w:r>
            <w:t>23</w:t>
          </w:r>
          <w:r>
            <w:fldChar w:fldCharType="end"/>
          </w:r>
          <w:r>
            <w:rPr>
              <w:rFonts w:hint="eastAsia" w:ascii="宋体" w:hAnsi="宋体" w:eastAsia="宋体" w:cs="宋体"/>
              <w:szCs w:val="30"/>
            </w:rPr>
            <w:fldChar w:fldCharType="end"/>
          </w:r>
        </w:p>
        <w:p>
          <w:pPr>
            <w:pStyle w:val="18"/>
            <w:tabs>
              <w:tab w:val="right" w:leader="dot" w:pos="8306"/>
            </w:tabs>
          </w:pPr>
          <w:r>
            <w:rPr>
              <w:rFonts w:hint="eastAsia" w:ascii="宋体" w:hAnsi="宋体" w:eastAsia="宋体" w:cs="宋体"/>
              <w:szCs w:val="30"/>
            </w:rPr>
            <w:fldChar w:fldCharType="begin"/>
          </w:r>
          <w:r>
            <w:rPr>
              <w:rFonts w:hint="eastAsia" w:ascii="宋体" w:hAnsi="宋体" w:eastAsia="宋体" w:cs="宋体"/>
              <w:szCs w:val="30"/>
            </w:rPr>
            <w:instrText xml:space="preserve"> HYPERLINK \l _Toc16173 </w:instrText>
          </w:r>
          <w:r>
            <w:rPr>
              <w:rFonts w:hint="eastAsia" w:ascii="宋体" w:hAnsi="宋体" w:eastAsia="宋体" w:cs="宋体"/>
              <w:szCs w:val="30"/>
            </w:rPr>
            <w:fldChar w:fldCharType="separate"/>
          </w:r>
          <w:r>
            <w:rPr>
              <w:rFonts w:hint="eastAsia" w:ascii="宋体" w:hAnsi="宋体" w:eastAsia="宋体" w:cs="宋体"/>
              <w:bCs/>
              <w:kern w:val="44"/>
              <w:szCs w:val="44"/>
            </w:rPr>
            <w:t>二、履行社会责任</w:t>
          </w:r>
          <w:r>
            <w:tab/>
          </w:r>
          <w:r>
            <w:fldChar w:fldCharType="begin"/>
          </w:r>
          <w:r>
            <w:instrText xml:space="preserve"> PAGEREF _Toc16173 </w:instrText>
          </w:r>
          <w:r>
            <w:fldChar w:fldCharType="separate"/>
          </w:r>
          <w:r>
            <w:t>25</w:t>
          </w:r>
          <w:r>
            <w:fldChar w:fldCharType="end"/>
          </w:r>
          <w:r>
            <w:rPr>
              <w:rFonts w:hint="eastAsia" w:ascii="宋体" w:hAnsi="宋体" w:eastAsia="宋体" w:cs="宋体"/>
              <w:szCs w:val="30"/>
            </w:rPr>
            <w:fldChar w:fldCharType="end"/>
          </w:r>
        </w:p>
        <w:p>
          <w:pPr>
            <w:ind w:firstLine="600"/>
            <w:jc w:val="center"/>
            <w:rPr>
              <w:rFonts w:hint="eastAsia" w:ascii="宋体" w:hAnsi="宋体" w:eastAsia="宋体" w:cs="宋体"/>
              <w:sz w:val="30"/>
              <w:szCs w:val="30"/>
            </w:rPr>
          </w:pPr>
          <w:r>
            <w:rPr>
              <w:rFonts w:hint="eastAsia" w:ascii="宋体" w:hAnsi="宋体" w:eastAsia="宋体" w:cs="宋体"/>
              <w:szCs w:val="30"/>
            </w:rPr>
            <w:fldChar w:fldCharType="end"/>
          </w:r>
        </w:p>
      </w:sdtContent>
    </w:sdt>
    <w:p>
      <w:pPr>
        <w:adjustRightInd/>
        <w:snapToGrid/>
        <w:spacing w:after="200" w:line="220" w:lineRule="atLeast"/>
        <w:ind w:firstLine="0" w:firstLineChars="0"/>
        <w:jc w:val="left"/>
        <w:rPr>
          <w:rFonts w:hint="eastAsia" w:ascii="宋体" w:hAnsi="宋体" w:eastAsia="宋体" w:cs="宋体"/>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454" w:gutter="0"/>
          <w:pgNumType w:start="1"/>
          <w:cols w:space="708" w:num="1"/>
          <w:docGrid w:type="lines" w:linePitch="360" w:charSpace="0"/>
        </w:sectPr>
      </w:pPr>
      <w:r>
        <w:rPr>
          <w:rFonts w:hint="eastAsia" w:ascii="宋体" w:hAnsi="宋体" w:eastAsia="宋体" w:cs="宋体"/>
        </w:rPr>
        <w:br w:type="page"/>
      </w:r>
    </w:p>
    <w:p>
      <w:pPr>
        <w:pStyle w:val="3"/>
        <w:jc w:val="center"/>
        <w:rPr>
          <w:rFonts w:hint="eastAsia" w:ascii="宋体" w:hAnsi="宋体" w:eastAsia="宋体" w:cs="宋体"/>
          <w:sz w:val="30"/>
          <w:szCs w:val="30"/>
          <w:lang w:eastAsia="zh-CN"/>
        </w:rPr>
      </w:pPr>
      <w:bookmarkStart w:id="0" w:name="_Toc524013529"/>
      <w:bookmarkStart w:id="1" w:name="_Toc19136"/>
      <w:r>
        <w:rPr>
          <w:rFonts w:hint="eastAsia" w:ascii="宋体" w:hAnsi="宋体" w:eastAsia="宋体" w:cs="宋体"/>
          <w:sz w:val="30"/>
          <w:szCs w:val="30"/>
        </w:rPr>
        <w:t>第一章  关于</w:t>
      </w:r>
      <w:bookmarkEnd w:id="0"/>
      <w:bookmarkEnd w:id="1"/>
      <w:r>
        <w:rPr>
          <w:rFonts w:hint="eastAsia" w:ascii="宋体" w:hAnsi="宋体" w:eastAsia="宋体" w:cs="宋体"/>
          <w:sz w:val="30"/>
          <w:szCs w:val="30"/>
          <w:lang w:val="en-US" w:eastAsia="zh-CN"/>
        </w:rPr>
        <w:t>哥伦</w:t>
      </w:r>
    </w:p>
    <w:p>
      <w:pPr>
        <w:pStyle w:val="4"/>
        <w:spacing w:after="0" w:line="360" w:lineRule="auto"/>
        <w:rPr>
          <w:rFonts w:hint="eastAsia" w:ascii="宋体" w:hAnsi="宋体" w:eastAsia="宋体" w:cs="宋体"/>
        </w:rPr>
      </w:pPr>
      <w:bookmarkStart w:id="2" w:name="_Toc524013530"/>
      <w:bookmarkStart w:id="3" w:name="_Toc8902"/>
      <w:r>
        <w:rPr>
          <w:rFonts w:hint="eastAsia" w:ascii="宋体" w:hAnsi="宋体" w:eastAsia="宋体" w:cs="宋体"/>
        </w:rPr>
        <w:t>一、公司概况</w:t>
      </w:r>
      <w:bookmarkEnd w:id="2"/>
      <w:bookmarkEnd w:id="3"/>
    </w:p>
    <w:p>
      <w:pPr>
        <w:pStyle w:val="4"/>
        <w:adjustRightInd/>
        <w:snapToGrid/>
        <w:spacing w:after="0" w:line="360" w:lineRule="auto"/>
        <w:rPr>
          <w:rFonts w:hint="eastAsia" w:ascii="宋体" w:hAnsi="宋体" w:eastAsia="宋体" w:cs="宋体"/>
        </w:rPr>
      </w:pPr>
      <w:bookmarkStart w:id="4" w:name="_Toc7686"/>
      <w:r>
        <w:rPr>
          <w:rFonts w:hint="eastAsia" w:ascii="宋体" w:hAnsi="宋体" w:eastAsia="宋体" w:cs="宋体"/>
        </w:rPr>
        <w:t>（一）公司简介</w:t>
      </w:r>
      <w:bookmarkEnd w:id="4"/>
    </w:p>
    <w:p>
      <w:pPr>
        <w:pStyle w:val="49"/>
        <w:keepNext w:val="0"/>
        <w:keepLines w:val="0"/>
        <w:pageBreakBefore w:val="0"/>
        <w:widowControl w:val="0"/>
        <w:kinsoku/>
        <w:wordWrap/>
        <w:overflowPunct/>
        <w:topLinePunct w:val="0"/>
        <w:autoSpaceDE/>
        <w:autoSpaceDN/>
        <w:bidi w:val="0"/>
        <w:adjustRightInd/>
        <w:snapToGrid/>
        <w:spacing w:before="156" w:line="288" w:lineRule="auto"/>
        <w:ind w:firstLine="480"/>
        <w:textAlignment w:val="auto"/>
        <w:rPr>
          <w:rFonts w:hint="default" w:ascii="宋体" w:hAnsi="宋体" w:eastAsia="宋体" w:cs="宋体"/>
          <w:color w:val="auto"/>
        </w:rPr>
      </w:pPr>
      <w:bookmarkStart w:id="5" w:name="_Toc19198"/>
      <w:bookmarkStart w:id="6" w:name="_Toc524013531"/>
      <w:r>
        <w:rPr>
          <w:rFonts w:hint="eastAsia" w:ascii="宋体" w:hAnsi="宋体" w:eastAsia="宋体" w:cs="宋体"/>
          <w:color w:val="auto"/>
        </w:rPr>
        <w:t>哥伦电气有限公司坐落在浙江省乐清市柳市新光工业区，自1989年创建以来，一直专注于电气产业及安全供电的创新与升级，是一家无区域国家高新技术型企业。</w:t>
      </w:r>
      <w:r>
        <w:rPr>
          <w:rFonts w:hint="default" w:ascii="宋体" w:hAnsi="宋体" w:eastAsia="宋体" w:cs="宋体"/>
          <w:color w:val="auto"/>
        </w:rPr>
        <w:br w:type="textWrapping"/>
      </w:r>
      <w:r>
        <w:rPr>
          <w:rFonts w:hint="default" w:ascii="宋体" w:hAnsi="宋体" w:eastAsia="宋体" w:cs="宋体"/>
          <w:color w:val="auto"/>
        </w:rPr>
        <w:t>  作为一家专业致力于电气安全领域的服务提供商。公司专业研发、生产、销售各类配电电器及工控电器产品。主要产品包含框架断路器、剩余电流动作断路器（漏电断路器）、小型断路器、电子式塑料壳断路器、电能表外置式断路器、双电源自动转换开关、交流接触器、隔离开关等，在业内树立了良好的口碑，多年以来备受客户的肯定与信赖。</w:t>
      </w:r>
    </w:p>
    <w:p>
      <w:pPr>
        <w:pStyle w:val="49"/>
        <w:keepNext w:val="0"/>
        <w:keepLines w:val="0"/>
        <w:pageBreakBefore w:val="0"/>
        <w:widowControl w:val="0"/>
        <w:kinsoku/>
        <w:wordWrap/>
        <w:overflowPunct/>
        <w:topLinePunct w:val="0"/>
        <w:autoSpaceDE/>
        <w:autoSpaceDN/>
        <w:bidi w:val="0"/>
        <w:adjustRightInd/>
        <w:snapToGrid/>
        <w:spacing w:before="156" w:line="288" w:lineRule="auto"/>
        <w:ind w:firstLine="480"/>
        <w:textAlignment w:val="auto"/>
        <w:rPr>
          <w:rFonts w:hint="default" w:ascii="宋体" w:hAnsi="宋体" w:eastAsia="宋体" w:cs="宋体"/>
          <w:color w:val="auto"/>
        </w:rPr>
      </w:pPr>
      <w:r>
        <w:rPr>
          <w:rFonts w:hint="eastAsia" w:ascii="宋体" w:hAnsi="宋体" w:eastAsia="宋体" w:cs="宋体"/>
          <w:color w:val="auto"/>
        </w:rPr>
        <w:t>公司已通过ISO9001质量管理体系、ISO14001环境管理体系和ISO18001职业安全管理体系认，所有电器类产品均获得国家强制CCC质量认证（简称“3C”认证）。产品技术拥有多项发明专利，具有独特的“哥伦”风格。</w:t>
      </w:r>
      <w:r>
        <w:rPr>
          <w:rFonts w:hint="default" w:ascii="宋体" w:hAnsi="宋体" w:eastAsia="宋体" w:cs="宋体"/>
          <w:color w:val="auto"/>
        </w:rPr>
        <w:br w:type="textWrapping"/>
      </w:r>
      <w:r>
        <w:rPr>
          <w:rFonts w:hint="default" w:ascii="宋体" w:hAnsi="宋体" w:eastAsia="宋体" w:cs="宋体"/>
          <w:color w:val="auto"/>
        </w:rPr>
        <w:t>  公司经过30多年剩余电流动作断路器研发和制造的专业技术、及先进管理经验之大成，拥有一大批技术精湛的工程技术人员和管理人员，配备一整套的先进生产设备和高性能的检测设备。产品的科技含量不断提高。一流的专业技术，一流的质量管理、一流的高素质员工，打造出一流的高质量产品。</w:t>
      </w:r>
    </w:p>
    <w:p>
      <w:pPr>
        <w:pStyle w:val="4"/>
        <w:adjustRightInd/>
        <w:snapToGrid/>
        <w:spacing w:after="0" w:line="360" w:lineRule="auto"/>
        <w:rPr>
          <w:rFonts w:hint="eastAsia" w:ascii="宋体" w:hAnsi="宋体" w:eastAsia="宋体" w:cs="宋体"/>
        </w:rPr>
      </w:pPr>
      <w:r>
        <w:rPr>
          <w:rFonts w:hint="eastAsia" w:ascii="宋体" w:hAnsi="宋体" w:eastAsia="宋体" w:cs="宋体"/>
        </w:rPr>
        <w:t>（二）组织架构</w:t>
      </w:r>
      <w:bookmarkEnd w:id="5"/>
    </w:p>
    <w:p>
      <w:pPr>
        <w:bidi w:val="0"/>
        <w:rPr>
          <w:rFonts w:hint="eastAsia"/>
        </w:rPr>
      </w:pPr>
      <w:r>
        <w:rPr>
          <w:rFonts w:hint="eastAsia" w:ascii="宋体" w:hAnsi="宋体" w:eastAsia="宋体" w:cs="宋体"/>
          <w:lang w:eastAsia="zh-CN"/>
        </w:rPr>
        <w:drawing>
          <wp:anchor distT="0" distB="0" distL="114300" distR="114300" simplePos="0" relativeHeight="252993536" behindDoc="0" locked="0" layoutInCell="1" allowOverlap="1">
            <wp:simplePos x="0" y="0"/>
            <wp:positionH relativeFrom="column">
              <wp:posOffset>478155</wp:posOffset>
            </wp:positionH>
            <wp:positionV relativeFrom="page">
              <wp:posOffset>1376680</wp:posOffset>
            </wp:positionV>
            <wp:extent cx="4436110" cy="5856605"/>
            <wp:effectExtent l="0" t="0" r="2540" b="10795"/>
            <wp:wrapTopAndBottom/>
            <wp:docPr id="14" name="图片 1" descr="166000927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1660009274580"/>
                    <pic:cNvPicPr>
                      <a:picLocks noChangeAspect="1"/>
                    </pic:cNvPicPr>
                  </pic:nvPicPr>
                  <pic:blipFill>
                    <a:blip r:embed="rId12"/>
                    <a:stretch>
                      <a:fillRect/>
                    </a:stretch>
                  </pic:blipFill>
                  <pic:spPr>
                    <a:xfrm>
                      <a:off x="0" y="0"/>
                      <a:ext cx="4436110" cy="5856605"/>
                    </a:xfrm>
                    <a:prstGeom prst="rect">
                      <a:avLst/>
                    </a:prstGeom>
                    <a:noFill/>
                    <a:ln>
                      <a:noFill/>
                    </a:ln>
                  </pic:spPr>
                </pic:pic>
              </a:graphicData>
            </a:graphic>
          </wp:anchor>
        </w:drawing>
      </w:r>
    </w:p>
    <w:p>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图1 组织机构图</w:t>
      </w:r>
    </w:p>
    <w:p>
      <w:pPr>
        <w:pStyle w:val="4"/>
        <w:adjustRightInd/>
        <w:snapToGrid/>
        <w:spacing w:after="0" w:line="360" w:lineRule="auto"/>
        <w:rPr>
          <w:rFonts w:hint="eastAsia" w:ascii="宋体" w:hAnsi="宋体" w:eastAsia="宋体" w:cs="宋体"/>
        </w:rPr>
      </w:pPr>
      <w:bookmarkStart w:id="7" w:name="_Toc11742"/>
      <w:r>
        <w:rPr>
          <w:rFonts w:hint="eastAsia" w:ascii="宋体" w:hAnsi="宋体" w:eastAsia="宋体" w:cs="宋体"/>
        </w:rPr>
        <w:t>（三）发展战略</w:t>
      </w:r>
      <w:bookmarkEnd w:id="7"/>
    </w:p>
    <w:p>
      <w:pPr>
        <w:adjustRightInd/>
        <w:snapToGrid/>
        <w:spacing w:line="360" w:lineRule="auto"/>
        <w:ind w:firstLine="480"/>
        <w:rPr>
          <w:rFonts w:hint="eastAsia" w:ascii="宋体" w:hAnsi="宋体" w:eastAsia="宋体" w:cs="宋体"/>
          <w:szCs w:val="24"/>
        </w:rPr>
      </w:pPr>
      <w:r>
        <w:rPr>
          <w:rFonts w:hint="eastAsia" w:ascii="宋体" w:hAnsi="宋体" w:cs="宋体"/>
          <w:bCs/>
          <w:szCs w:val="24"/>
          <w:lang w:val="en-US" w:eastAsia="zh-CN"/>
        </w:rPr>
        <w:t>哥伦</w:t>
      </w:r>
      <w:r>
        <w:rPr>
          <w:rFonts w:hint="eastAsia" w:ascii="宋体" w:hAnsi="宋体" w:eastAsia="宋体" w:cs="宋体"/>
          <w:bCs/>
          <w:szCs w:val="24"/>
        </w:rPr>
        <w:t>公司</w:t>
      </w:r>
      <w:r>
        <w:rPr>
          <w:rFonts w:hint="eastAsia" w:ascii="宋体" w:hAnsi="宋体" w:eastAsia="宋体" w:cs="宋体"/>
          <w:szCs w:val="24"/>
        </w:rPr>
        <w:t>根据总战略目标制定了总战略规划，并依据总战略分解的几个子战略目标制定年度经营目标，并落实到各职能部门。</w:t>
      </w:r>
    </w:p>
    <w:p>
      <w:pPr>
        <w:pStyle w:val="49"/>
        <w:spacing w:before="156"/>
        <w:ind w:firstLine="480"/>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、人力资源战略</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rPr>
        <w:t>、建立强有力的营销团队</w:t>
      </w:r>
    </w:p>
    <w:p>
      <w:pPr>
        <w:pStyle w:val="49"/>
        <w:keepNext w:val="0"/>
        <w:keepLines w:val="0"/>
        <w:pageBreakBefore w:val="0"/>
        <w:widowControl w:val="0"/>
        <w:kinsoku/>
        <w:wordWrap/>
        <w:overflowPunct/>
        <w:topLinePunct w:val="0"/>
        <w:autoSpaceDE/>
        <w:autoSpaceDN/>
        <w:bidi w:val="0"/>
        <w:adjustRightInd/>
        <w:snapToGrid/>
        <w:spacing w:before="156" w:line="288" w:lineRule="auto"/>
        <w:ind w:firstLine="480"/>
        <w:textAlignment w:val="auto"/>
        <w:rPr>
          <w:rFonts w:hint="eastAsia" w:ascii="宋体" w:hAnsi="宋体" w:eastAsia="宋体" w:cs="宋体"/>
          <w:color w:val="auto"/>
        </w:rPr>
      </w:pPr>
      <w:r>
        <w:rPr>
          <w:rFonts w:hint="eastAsia" w:ascii="宋体" w:hAnsi="宋体" w:eastAsia="宋体" w:cs="宋体"/>
          <w:color w:val="auto"/>
        </w:rPr>
        <w:t>公司建设的新厂扩大生产规模后，首要任务就是加大市场开拓力度，完善客户服务内容，为更多的客户提供优秀的产品与服务。因此企业迫切需要高素质的专业营销人才。</w:t>
      </w:r>
    </w:p>
    <w:p>
      <w:pPr>
        <w:pStyle w:val="49"/>
        <w:keepNext w:val="0"/>
        <w:keepLines w:val="0"/>
        <w:pageBreakBefore w:val="0"/>
        <w:widowControl w:val="0"/>
        <w:kinsoku/>
        <w:wordWrap/>
        <w:overflowPunct/>
        <w:topLinePunct w:val="0"/>
        <w:autoSpaceDE/>
        <w:autoSpaceDN/>
        <w:bidi w:val="0"/>
        <w:adjustRightInd/>
        <w:snapToGrid/>
        <w:spacing w:before="156" w:line="288" w:lineRule="auto"/>
        <w:ind w:firstLine="480"/>
        <w:textAlignment w:val="auto"/>
        <w:rPr>
          <w:rFonts w:hint="eastAsia" w:ascii="宋体" w:hAnsi="宋体" w:eastAsia="宋体" w:cs="宋体"/>
          <w:color w:val="auto"/>
        </w:rPr>
      </w:pPr>
      <w:r>
        <w:rPr>
          <w:rFonts w:hint="eastAsia" w:ascii="宋体" w:hAnsi="宋体" w:eastAsia="宋体" w:cs="宋体"/>
          <w:color w:val="auto"/>
        </w:rPr>
        <w:t>营销人才的引进可以采取两种方式：一是从大中专院校招聘有潜力的应届毕业生，因为应届毕业生刚出校门，其思想犹如空杯，企业灌输什么，他们就接收什么，且思维活跃，较好引导，企业通过自己培养人才，可以提高员工的忠诚度；二是从竞争对手处猎头引进专业的高级营销管理人才，同时还可以深度了解竞争对手的战略经营情况。作为企业必须要承担一些人才成长储备的成本，才能以备企业将来发展需要。</w:t>
      </w:r>
    </w:p>
    <w:p>
      <w:pPr>
        <w:pStyle w:val="49"/>
        <w:keepNext w:val="0"/>
        <w:keepLines w:val="0"/>
        <w:pageBreakBefore w:val="0"/>
        <w:widowControl w:val="0"/>
        <w:kinsoku/>
        <w:wordWrap/>
        <w:overflowPunct/>
        <w:topLinePunct w:val="0"/>
        <w:autoSpaceDE/>
        <w:autoSpaceDN/>
        <w:bidi w:val="0"/>
        <w:adjustRightInd/>
        <w:snapToGrid/>
        <w:spacing w:before="156" w:line="288" w:lineRule="auto"/>
        <w:ind w:firstLine="480"/>
        <w:textAlignment w:val="auto"/>
        <w:rPr>
          <w:rFonts w:hint="eastAsia" w:ascii="宋体" w:hAnsi="宋体" w:eastAsia="宋体" w:cs="宋体"/>
          <w:color w:val="auto"/>
        </w:rPr>
      </w:pPr>
      <w:r>
        <w:rPr>
          <w:rFonts w:hint="eastAsia" w:ascii="宋体" w:hAnsi="宋体" w:eastAsia="宋体" w:cs="宋体"/>
          <w:color w:val="auto"/>
        </w:rPr>
        <w:t>其次要不断扩大营销队伍建设，做好营销人员的培训与开发，从企业文化、专业知识、市场行情、情商智商等多方位、多渠道、多形式进行培训与开发，并为营销人员设立阶段性成长目标，帮助其快速成长为专业的、训练有素的营销专才，为企业储备一批、沉淀一批专业的营销人才做准备。</w:t>
      </w:r>
    </w:p>
    <w:p>
      <w:pPr>
        <w:pStyle w:val="49"/>
        <w:spacing w:before="156"/>
        <w:ind w:firstLine="480"/>
        <w:rPr>
          <w:rFonts w:hint="eastAsia" w:ascii="宋体" w:hAnsi="宋体" w:eastAsia="宋体" w:cs="宋体"/>
          <w:color w:val="auto"/>
          <w:lang w:val="en-US" w:eastAsia="zh-CN"/>
        </w:rPr>
      </w:pPr>
      <w:r>
        <w:rPr>
          <w:rFonts w:hint="eastAsia" w:ascii="宋体" w:hAnsi="宋体" w:eastAsia="宋体" w:cs="宋体"/>
          <w:color w:val="auto"/>
          <w:lang w:val="en-US" w:eastAsia="zh-CN"/>
        </w:rPr>
        <w:t>近几年来公司通过不断的实践“市场网络化、业务基地化、经营规模化”的市场竞争策略，并在国内20多个大中城市建立了销售网络，形成了华北大区、华东大区、华南大区、华中、西北大区等几大板块市场。急需大量的有经验的优秀人才。</w:t>
      </w:r>
      <w:r>
        <w:rPr>
          <w:rFonts w:hint="eastAsia" w:ascii="宋体" w:hAnsi="宋体" w:eastAsia="宋体" w:cs="宋体"/>
          <w:color w:val="auto"/>
        </w:rPr>
        <w:t>公司现有业务人员</w:t>
      </w:r>
      <w:r>
        <w:rPr>
          <w:rFonts w:ascii="宋体" w:hAnsi="宋体" w:eastAsia="宋体" w:cs="宋体"/>
          <w:color w:val="auto"/>
        </w:rPr>
        <w:t>20</w:t>
      </w:r>
      <w:r>
        <w:rPr>
          <w:rFonts w:hint="eastAsia" w:ascii="宋体" w:hAnsi="宋体" w:eastAsia="宋体" w:cs="宋体"/>
          <w:color w:val="auto"/>
        </w:rPr>
        <w:t>名，我司计划在</w:t>
      </w:r>
      <w:r>
        <w:rPr>
          <w:rFonts w:ascii="宋体" w:hAnsi="宋体" w:eastAsia="宋体" w:cs="宋体"/>
          <w:color w:val="auto"/>
        </w:rPr>
        <w:t>202</w:t>
      </w:r>
      <w:r>
        <w:rPr>
          <w:rFonts w:hint="eastAsia" w:ascii="宋体" w:hAnsi="宋体" w:eastAsia="宋体" w:cs="宋体"/>
          <w:color w:val="auto"/>
          <w:lang w:val="en-US" w:eastAsia="zh-CN"/>
        </w:rPr>
        <w:t>2</w:t>
      </w:r>
      <w:r>
        <w:rPr>
          <w:rFonts w:hint="eastAsia" w:ascii="宋体" w:hAnsi="宋体" w:eastAsia="宋体" w:cs="宋体"/>
          <w:color w:val="auto"/>
        </w:rPr>
        <w:t>年招募</w:t>
      </w:r>
      <w:r>
        <w:rPr>
          <w:rFonts w:ascii="宋体" w:hAnsi="宋体" w:eastAsia="宋体" w:cs="宋体"/>
          <w:color w:val="auto"/>
        </w:rPr>
        <w:t>5</w:t>
      </w:r>
      <w:r>
        <w:rPr>
          <w:rFonts w:hint="eastAsia" w:ascii="宋体" w:hAnsi="宋体" w:eastAsia="宋体" w:cs="宋体"/>
          <w:color w:val="auto"/>
        </w:rPr>
        <w:t>名营销人员补充进各地的办事处，立足各地市场，更好地服务客户。</w:t>
      </w:r>
    </w:p>
    <w:p>
      <w:pPr>
        <w:pStyle w:val="49"/>
        <w:spacing w:before="156"/>
        <w:ind w:firstLine="480"/>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2</w:t>
      </w:r>
      <w:r>
        <w:rPr>
          <w:rFonts w:hint="eastAsia" w:ascii="宋体" w:hAnsi="宋体" w:eastAsia="宋体" w:cs="宋体"/>
          <w:color w:val="auto"/>
          <w:lang w:eastAsia="zh-CN"/>
        </w:rPr>
        <w:t>）</w:t>
      </w:r>
      <w:r>
        <w:rPr>
          <w:rFonts w:hint="eastAsia" w:ascii="宋体" w:hAnsi="宋体" w:eastAsia="宋体" w:cs="宋体"/>
          <w:color w:val="auto"/>
        </w:rPr>
        <w:t>、做好人才梯队建设</w:t>
      </w:r>
    </w:p>
    <w:p>
      <w:pPr>
        <w:pStyle w:val="49"/>
        <w:spacing w:before="156"/>
        <w:ind w:firstLine="480"/>
        <w:rPr>
          <w:rFonts w:hint="eastAsia" w:ascii="宋体" w:hAnsi="宋体" w:eastAsia="宋体" w:cs="宋体"/>
        </w:rPr>
      </w:pPr>
      <w:r>
        <w:rPr>
          <w:rFonts w:hint="eastAsia" w:ascii="宋体" w:hAnsi="宋体" w:eastAsia="宋体" w:cs="宋体"/>
        </w:rPr>
        <w:t>作为民营企业，不可能象国有企业一样聘用工作量不饱和或闲置人员，目前企业人员的招聘都是按照年初人员编制计划进行，这就要求人力资源部做好人力资源的规划，根据岗位设立AB岗，当公司内部某个岗位由于业务变动、前任提升、退休或辞退等原因出现岗位空缺时，保证有二到三名的合适人选可以接替此岗位。通过人才梯队的建设，扩大员工的知识面，有利于让员工明确自己的发展方向，激发员工的潜力，实现人才的在职开发。</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rPr>
        <w:t>、培养一批专业的管理人才</w:t>
      </w:r>
    </w:p>
    <w:p>
      <w:pPr>
        <w:pStyle w:val="49"/>
        <w:spacing w:before="156"/>
        <w:ind w:firstLine="480"/>
        <w:rPr>
          <w:rFonts w:hint="eastAsia" w:ascii="宋体" w:hAnsi="宋体" w:eastAsia="宋体" w:cs="宋体"/>
        </w:rPr>
      </w:pPr>
      <w:r>
        <w:rPr>
          <w:rFonts w:hint="eastAsia" w:ascii="宋体" w:hAnsi="宋体" w:eastAsia="宋体" w:cs="宋体"/>
        </w:rPr>
        <w:t>所谓专业就是要有一定的理论支撑为前提，看问题能够站在企业或行业的角度来分析，具有一定的战略高度。目前公司的专业管理人才包括营销类管理人才、人力资源类管理人才、财务类管理人才、业务类管理人才。作为管理层要不断给自己充电，拓宽知识面，才能更好地指导下属开展工作，适应企业和市场需求；作为企业要积极鼓动管理层多参加培训班、研讨会、进修等，为员工成长创造良好的企业环境，从而不断提升管理层的综合素质，造就复合型人才。</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4</w:t>
      </w:r>
      <w:r>
        <w:rPr>
          <w:rFonts w:hint="eastAsia" w:ascii="宋体" w:hAnsi="宋体" w:eastAsia="宋体" w:cs="宋体"/>
          <w:lang w:eastAsia="zh-CN"/>
        </w:rPr>
        <w:t>）</w:t>
      </w:r>
      <w:r>
        <w:rPr>
          <w:rFonts w:hint="eastAsia" w:ascii="宋体" w:hAnsi="宋体" w:eastAsia="宋体" w:cs="宋体"/>
        </w:rPr>
        <w:t>、让老员工在企业内部合理的岗位流动</w:t>
      </w:r>
    </w:p>
    <w:p>
      <w:pPr>
        <w:pStyle w:val="49"/>
        <w:spacing w:before="156"/>
        <w:ind w:firstLine="480"/>
        <w:rPr>
          <w:rFonts w:hint="eastAsia" w:ascii="宋体" w:hAnsi="宋体" w:eastAsia="宋体" w:cs="宋体"/>
        </w:rPr>
      </w:pPr>
      <w:r>
        <w:rPr>
          <w:rFonts w:hint="eastAsia" w:ascii="宋体" w:hAnsi="宋体" w:eastAsia="宋体" w:cs="宋体"/>
        </w:rPr>
        <w:t>目前公司员工中工龄2年以内的有</w:t>
      </w:r>
      <w:r>
        <w:rPr>
          <w:rFonts w:hint="eastAsia" w:ascii="宋体" w:hAnsi="宋体" w:eastAsia="宋体" w:cs="宋体"/>
          <w:lang w:val="en-US" w:eastAsia="zh-CN"/>
        </w:rPr>
        <w:t>65</w:t>
      </w:r>
      <w:r>
        <w:rPr>
          <w:rFonts w:hint="eastAsia" w:ascii="宋体" w:hAnsi="宋体" w:eastAsia="宋体" w:cs="宋体"/>
        </w:rPr>
        <w:t>人，占员工总数的33%；2年以上5年以下的有</w:t>
      </w:r>
      <w:r>
        <w:rPr>
          <w:rFonts w:hint="eastAsia" w:ascii="宋体" w:hAnsi="宋体" w:eastAsia="宋体" w:cs="宋体"/>
          <w:lang w:val="en-US" w:eastAsia="zh-CN"/>
        </w:rPr>
        <w:t>55</w:t>
      </w:r>
      <w:r>
        <w:rPr>
          <w:rFonts w:hint="eastAsia" w:ascii="宋体" w:hAnsi="宋体" w:eastAsia="宋体" w:cs="宋体"/>
        </w:rPr>
        <w:t>人，占员工总数的28%；5年以上的有</w:t>
      </w:r>
      <w:r>
        <w:rPr>
          <w:rFonts w:hint="eastAsia" w:ascii="宋体" w:hAnsi="宋体" w:eastAsia="宋体" w:cs="宋体"/>
          <w:lang w:val="en-US" w:eastAsia="zh-CN"/>
        </w:rPr>
        <w:t>76</w:t>
      </w:r>
      <w:r>
        <w:rPr>
          <w:rFonts w:hint="eastAsia" w:ascii="宋体" w:hAnsi="宋体" w:eastAsia="宋体" w:cs="宋体"/>
        </w:rPr>
        <w:t>人，占员工总数的</w:t>
      </w:r>
      <w:r>
        <w:rPr>
          <w:rFonts w:hint="eastAsia" w:ascii="宋体" w:hAnsi="宋体" w:eastAsia="宋体" w:cs="宋体"/>
          <w:lang w:val="en-US" w:eastAsia="zh-CN"/>
        </w:rPr>
        <w:t>39</w:t>
      </w:r>
      <w:r>
        <w:rPr>
          <w:rFonts w:hint="eastAsia" w:ascii="宋体" w:hAnsi="宋体" w:eastAsia="宋体" w:cs="宋体"/>
        </w:rPr>
        <w:t>%；此数据表明公司团队人员相对较稳定。每个企业都有初创期、成长期、成熟期和衰退期，而员工在一个企业中也同样存在成长期、成熟期和衰退期。</w:t>
      </w:r>
    </w:p>
    <w:p>
      <w:pPr>
        <w:pStyle w:val="49"/>
        <w:spacing w:before="156"/>
        <w:ind w:firstLine="480"/>
        <w:rPr>
          <w:rFonts w:hint="eastAsia" w:ascii="宋体" w:hAnsi="宋体" w:eastAsia="宋体" w:cs="宋体"/>
        </w:rPr>
      </w:pPr>
      <w:r>
        <w:rPr>
          <w:rFonts w:hint="eastAsia" w:ascii="宋体" w:hAnsi="宋体" w:eastAsia="宋体" w:cs="宋体"/>
        </w:rPr>
        <w:t>美国学者卡兹通过卡兹曲线，证明了一个企业人员流动的必要性，在一起工作的人员，信息沟通水平最佳年龄区为1.5年至5年，超过5年，就会出现沟通减少、反应迟钝等问题，如果不改变其工作环境和工作内容，其创造力将在低水平上徘徊不前，如一个员工在原有的工作岗位上长期得不到提升，势必造成工作热情降低，这时候，调换其工作岗位，让其在新的岗位上迎接新的挑战，对员工也会起到很大激励作用。</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5</w:t>
      </w:r>
      <w:r>
        <w:rPr>
          <w:rFonts w:hint="eastAsia" w:ascii="宋体" w:hAnsi="宋体" w:eastAsia="宋体" w:cs="宋体"/>
          <w:lang w:eastAsia="zh-CN"/>
        </w:rPr>
        <w:t>）</w:t>
      </w:r>
      <w:r>
        <w:rPr>
          <w:rFonts w:hint="eastAsia" w:ascii="宋体" w:hAnsi="宋体" w:eastAsia="宋体" w:cs="宋体"/>
        </w:rPr>
        <w:t>、不断提升员工的满意度</w:t>
      </w:r>
    </w:p>
    <w:p>
      <w:pPr>
        <w:pStyle w:val="49"/>
        <w:spacing w:before="156"/>
        <w:ind w:firstLine="480"/>
        <w:rPr>
          <w:rFonts w:hint="eastAsia" w:ascii="宋体" w:hAnsi="宋体" w:eastAsia="宋体" w:cs="宋体"/>
        </w:rPr>
      </w:pPr>
      <w:r>
        <w:rPr>
          <w:rFonts w:hint="eastAsia" w:ascii="宋体" w:hAnsi="宋体" w:eastAsia="宋体" w:cs="宋体"/>
        </w:rPr>
        <w:t>企业要想提高客户的满意度，首先要提高员工的满意度，员工的满意度提高了，所反映出来的工作行为必然导致客户满意度的提高。客户满意度的高低，不仅是影响企业业绩的重要因素，也是影响人才是否流动的重要因素。影响员工满意度的主要因素有个人因素、领导水平、工作特性、工作条件、福利待遇、工作报酬和同事关系等，因此企业要不断提升员工的满意度，才能稳定员工队伍，留住企业的优秀人才。</w:t>
      </w:r>
    </w:p>
    <w:p>
      <w:pPr>
        <w:pStyle w:val="49"/>
        <w:spacing w:before="156"/>
        <w:ind w:firstLine="480"/>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、经营管理战略</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rPr>
        <w:t>、以市场为导向</w:t>
      </w:r>
    </w:p>
    <w:p>
      <w:pPr>
        <w:pStyle w:val="49"/>
        <w:spacing w:before="156"/>
        <w:ind w:firstLine="480"/>
        <w:rPr>
          <w:rFonts w:hint="eastAsia" w:ascii="宋体" w:hAnsi="宋体" w:eastAsia="宋体" w:cs="宋体"/>
        </w:rPr>
      </w:pPr>
      <w:r>
        <w:rPr>
          <w:rFonts w:hint="eastAsia" w:ascii="宋体" w:hAnsi="宋体" w:eastAsia="宋体" w:cs="宋体"/>
        </w:rPr>
        <w:t>让所有人员更加接近顾客、贴近市场，为客户提供优于竞争对手的服务，打造企业的核心竞争力。如公司提供的产品或服务不能满足其需要，客户就会转向别处，这就要求我们要聚焦顾客户的需求、关注顾客需求，提出有创新的解决办法来满足客户需求。</w:t>
      </w:r>
    </w:p>
    <w:p>
      <w:pPr>
        <w:pStyle w:val="49"/>
        <w:spacing w:before="156"/>
        <w:ind w:firstLine="480"/>
        <w:rPr>
          <w:rFonts w:hint="eastAsia" w:ascii="宋体" w:hAnsi="宋体" w:eastAsia="宋体" w:cs="宋体"/>
        </w:rPr>
      </w:pPr>
      <w:r>
        <w:rPr>
          <w:rFonts w:hint="eastAsia" w:ascii="宋体" w:hAnsi="宋体" w:eastAsia="宋体" w:cs="宋体"/>
        </w:rPr>
        <w:t>由于不同的客户需求不同，因此我们要对目标市场进行细分，通过对市场的细分结合企业产品或服务的特点有针对性的出击，在满足顾客需求的同时可以获取相对更高的利润。</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rPr>
        <w:t>、不断提升服务的标准化</w:t>
      </w:r>
    </w:p>
    <w:p>
      <w:pPr>
        <w:pStyle w:val="49"/>
        <w:spacing w:before="156"/>
        <w:ind w:firstLine="480"/>
        <w:rPr>
          <w:rFonts w:hint="eastAsia" w:ascii="宋体" w:hAnsi="宋体" w:eastAsia="宋体" w:cs="宋体"/>
        </w:rPr>
      </w:pPr>
      <w:r>
        <w:rPr>
          <w:rFonts w:hint="eastAsia" w:ascii="宋体" w:hAnsi="宋体" w:eastAsia="宋体" w:cs="宋体"/>
        </w:rPr>
        <w:t>实实在在，切实地从售前、售中到售后为客户提供优质的服务，尤其是及时处理客户投诉及售后服务问题。各部门要制订出自己的服务承诺，使每位员工在各自的岗位上担负起应尽的职责，从而提高客户服务的标准化程度。</w:t>
      </w:r>
    </w:p>
    <w:p>
      <w:pPr>
        <w:pStyle w:val="49"/>
        <w:spacing w:before="156"/>
        <w:ind w:firstLine="480"/>
        <w:rPr>
          <w:rFonts w:hint="eastAsia" w:ascii="宋体" w:hAnsi="宋体" w:eastAsia="宋体" w:cs="宋体"/>
        </w:rPr>
      </w:pPr>
      <w:r>
        <w:rPr>
          <w:rFonts w:hint="eastAsia" w:ascii="宋体" w:hAnsi="宋体" w:eastAsia="宋体" w:cs="宋体"/>
        </w:rPr>
        <w:t>定期进行客户满意度调查，至少每年一次，对客户满意度、客户流失率、客户向心力、客户离心力等问题进行调查，以掌握客户需求的变化和企业为客户创造价值的能力；知道消费者对现有产品的满意之处和不满意之处，知道潜在消费者没有加入消费的顾虑和问题并迅速改进。</w:t>
      </w:r>
    </w:p>
    <w:p>
      <w:pPr>
        <w:pStyle w:val="49"/>
        <w:spacing w:before="156"/>
        <w:ind w:firstLine="480"/>
        <w:rPr>
          <w:rFonts w:hint="eastAsia" w:ascii="宋体" w:hAnsi="宋体" w:eastAsia="宋体" w:cs="宋体"/>
        </w:rPr>
      </w:pPr>
      <w:r>
        <w:rPr>
          <w:rFonts w:hint="eastAsia" w:ascii="宋体" w:hAnsi="宋体" w:eastAsia="宋体" w:cs="宋体"/>
        </w:rPr>
        <w:t>同时，将信息化系统导入客户管理，调配专业的营销服务人才组成客服团队，重视客户资源的维护、积累、开发和利用，提升客服在公司的定位，实现售前、售中监控，售后定期维护的全过程服务，随时解答客户提出的疑问，使客户服务成为公司强有力的竞争王牌，并通过客户口碑的良性循环，培养一批忠诚度较高的客户群体。</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rPr>
        <w:t>、构建学习型组织</w:t>
      </w:r>
    </w:p>
    <w:p>
      <w:pPr>
        <w:pStyle w:val="49"/>
        <w:spacing w:before="156"/>
        <w:ind w:firstLine="480"/>
        <w:rPr>
          <w:rFonts w:hint="eastAsia" w:ascii="宋体" w:hAnsi="宋体" w:eastAsia="宋体" w:cs="宋体"/>
        </w:rPr>
      </w:pPr>
      <w:r>
        <w:rPr>
          <w:rFonts w:hint="eastAsia" w:ascii="宋体" w:hAnsi="宋体" w:eastAsia="宋体" w:cs="宋体"/>
        </w:rPr>
        <w:t>市场经济瞬息万变，面对强大的竞争对手，企业原有的知识、经验已远远无法应付不断变化的新情况、新任务，唯有不断的学习、学习、再学习，以补充自己的知识，提高企业的经营管理水平和能力，保持自身的核心竞争力，才能在知识竞争中立于不败之地。首先要掌握的是学习型组织的五项修炼即自我超越、改善心智模式、建立共同愿景、团队学习、系统思考。</w:t>
      </w:r>
    </w:p>
    <w:p>
      <w:pPr>
        <w:pStyle w:val="49"/>
        <w:spacing w:before="156"/>
        <w:ind w:firstLine="480"/>
        <w:rPr>
          <w:rFonts w:hint="eastAsia" w:ascii="宋体" w:hAnsi="宋体" w:eastAsia="宋体" w:cs="宋体"/>
        </w:rPr>
      </w:pPr>
      <w:r>
        <w:rPr>
          <w:rFonts w:hint="eastAsia" w:ascii="宋体" w:hAnsi="宋体" w:eastAsia="宋体" w:cs="宋体"/>
        </w:rPr>
        <w:t>其次，要构建学习型组织必须制订科学的学习制度，营造良好的文化氛围，企业可以通过每月的学习会，引导员工积极主动去学习。科学的学习制度是推动组织学习的强心剂，没有科学健全的学习管理制度，员工的学习就可能时紧时松，产生很大的盲目性，甚至会导致企业投入多而效益少的问题。</w:t>
      </w:r>
    </w:p>
    <w:p>
      <w:pPr>
        <w:pStyle w:val="49"/>
        <w:spacing w:before="156"/>
        <w:ind w:firstLine="480"/>
        <w:rPr>
          <w:rFonts w:hint="eastAsia" w:ascii="宋体" w:hAnsi="宋体" w:eastAsia="宋体" w:cs="宋体"/>
          <w:b/>
          <w:bCs/>
        </w:rPr>
      </w:pPr>
      <w:r>
        <w:rPr>
          <w:rFonts w:hint="eastAsia" w:ascii="宋体" w:hAnsi="宋体" w:eastAsia="宋体" w:cs="宋体"/>
          <w:b/>
          <w:bCs/>
          <w:lang w:val="en-US" w:eastAsia="zh-CN"/>
        </w:rPr>
        <w:t>3</w:t>
      </w:r>
      <w:r>
        <w:rPr>
          <w:rFonts w:hint="eastAsia" w:ascii="宋体" w:hAnsi="宋体" w:eastAsia="宋体" w:cs="宋体"/>
          <w:b/>
          <w:bCs/>
        </w:rPr>
        <w:t>、品牌营销战略</w:t>
      </w:r>
    </w:p>
    <w:p>
      <w:pPr>
        <w:pStyle w:val="49"/>
        <w:spacing w:before="156"/>
        <w:ind w:firstLine="480"/>
        <w:rPr>
          <w:rFonts w:hint="eastAsia" w:ascii="宋体" w:hAnsi="宋体" w:eastAsia="宋体" w:cs="宋体"/>
        </w:rPr>
      </w:pPr>
      <w:r>
        <w:rPr>
          <w:rFonts w:hint="eastAsia" w:ascii="宋体" w:hAnsi="宋体" w:eastAsia="宋体" w:cs="宋体"/>
        </w:rPr>
        <w:t xml:space="preserve">由于产品销售难度的不断加大，企业除了要及时掌握竞争对手及竞争产品的优势、劣势，还应配备一定的营销手段，将各种营销手段灵活运用如新产品巡展、各种展会、客户联谊会、媒体座谈会、软文传播、网络营销、广告宣传等，积极开展推广活动。 </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rPr>
        <w:t>、最有效的传播：客户口碑</w:t>
      </w:r>
    </w:p>
    <w:p>
      <w:pPr>
        <w:pStyle w:val="49"/>
        <w:spacing w:before="156"/>
        <w:ind w:firstLine="480"/>
        <w:rPr>
          <w:rFonts w:hint="eastAsia" w:ascii="宋体" w:hAnsi="宋体" w:eastAsia="宋体" w:cs="宋体"/>
        </w:rPr>
      </w:pPr>
      <w:r>
        <w:rPr>
          <w:rFonts w:hint="eastAsia" w:ascii="宋体" w:hAnsi="宋体" w:eastAsia="宋体" w:cs="宋体"/>
        </w:rPr>
        <w:t xml:space="preserve">口碑是最有说服力的广告，要想让客户主动进行口碑传播要有三个条件：一是客户的满意度，要求提供的产品和服务超过客户的预期；二是客户的忠诚度，比如过硬的产品质量、周到的售后服务等等。只有通过给客户留下深刻印象的企业行为，才有可能把自己的产品通过客户进行传播。 </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rPr>
        <w:t>、最直观的展示：专业展会</w:t>
      </w:r>
    </w:p>
    <w:p>
      <w:pPr>
        <w:pStyle w:val="49"/>
        <w:spacing w:before="156"/>
        <w:ind w:firstLine="480"/>
        <w:rPr>
          <w:rFonts w:hint="eastAsia" w:ascii="宋体" w:hAnsi="宋体" w:eastAsia="宋体" w:cs="宋体"/>
        </w:rPr>
      </w:pPr>
      <w:r>
        <w:rPr>
          <w:rFonts w:hint="eastAsia" w:ascii="宋体" w:hAnsi="宋体" w:eastAsia="宋体" w:cs="宋体"/>
          <w:color w:val="auto"/>
          <w:lang w:val="en-US" w:eastAsia="zh-CN"/>
        </w:rPr>
        <w:t>电能管理及电力电容器</w:t>
      </w:r>
      <w:r>
        <w:rPr>
          <w:rFonts w:hint="eastAsia" w:ascii="宋体" w:hAnsi="宋体" w:eastAsia="宋体" w:cs="宋体"/>
          <w:color w:val="auto"/>
        </w:rPr>
        <w:t>行业的专业展会作为一种推广手段，每年都会受到各界的广泛关注，这也是</w:t>
      </w:r>
      <w:r>
        <w:rPr>
          <w:rFonts w:hint="eastAsia" w:ascii="宋体" w:hAnsi="宋体" w:eastAsia="宋体" w:cs="宋体"/>
          <w:color w:val="auto"/>
          <w:lang w:val="en-US" w:eastAsia="zh-CN"/>
        </w:rPr>
        <w:t>电力行业</w:t>
      </w:r>
      <w:r>
        <w:rPr>
          <w:rFonts w:hint="eastAsia" w:ascii="宋体" w:hAnsi="宋体" w:eastAsia="宋体" w:cs="宋体"/>
          <w:color w:val="auto"/>
        </w:rPr>
        <w:t>及核心配件企业向外界展示产品的最佳窗口。参展企业可以以展会为平台，通过召开产品发布会、媒体座谈会、客户参观等活动，扩大展会效应。</w:t>
      </w:r>
      <w:r>
        <w:rPr>
          <w:rFonts w:hint="eastAsia" w:ascii="宋体" w:hAnsi="宋体" w:eastAsia="宋体" w:cs="宋体"/>
        </w:rPr>
        <w:t xml:space="preserve">。 </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rPr>
        <w:t>、最有说服力的案例：样板客户。</w:t>
      </w:r>
    </w:p>
    <w:p>
      <w:pPr>
        <w:pStyle w:val="49"/>
        <w:spacing w:before="156"/>
        <w:ind w:firstLine="480"/>
        <w:rPr>
          <w:rFonts w:hint="eastAsia" w:ascii="宋体" w:hAnsi="宋体" w:eastAsia="宋体" w:cs="宋体"/>
        </w:rPr>
      </w:pPr>
      <w:r>
        <w:rPr>
          <w:rFonts w:hint="eastAsia" w:ascii="宋体" w:hAnsi="宋体" w:eastAsia="宋体" w:cs="宋体"/>
        </w:rPr>
        <w:t xml:space="preserve">样板客户是企业的最重要客户资源，会对企业发展起到有力的促进作用。在各区域市场建立自己的样板客户，通过榜样的力量来打动其它客户。选择样板客户要符合四个条件：①要有合作基础，必须要使用一定数量的自家品牌产品；② 要有良好的合作关系，双方有进一步合作的意愿；③该客户要在该地区处于行业领袖地位，具有相当的带动作用；④进行相应的投入，比如进行相关培训，设立专人服务等等。 </w:t>
      </w:r>
    </w:p>
    <w:p>
      <w:pPr>
        <w:pStyle w:val="49"/>
        <w:spacing w:before="156"/>
        <w:ind w:firstLine="48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、财务管理战略</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rPr>
        <w:t>、投资战略</w:t>
      </w:r>
    </w:p>
    <w:p>
      <w:pPr>
        <w:pStyle w:val="49"/>
        <w:spacing w:before="156"/>
        <w:ind w:firstLine="480"/>
        <w:rPr>
          <w:rFonts w:hint="eastAsia" w:ascii="宋体" w:hAnsi="宋体" w:eastAsia="宋体" w:cs="宋体"/>
        </w:rPr>
      </w:pPr>
      <w:r>
        <w:rPr>
          <w:rFonts w:hint="eastAsia" w:ascii="宋体" w:hAnsi="宋体" w:eastAsia="宋体" w:cs="宋体"/>
        </w:rPr>
        <w:t>投资项目资金占用大，虽然投资回报率高，但也有一定经营风险，企业可以在市场稳定的前提下，对前景看好的行业，采取横向一体化或纵向一体化战略，以较少的资金控股或参股其他公司。</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rPr>
        <w:t>、融资战略</w:t>
      </w:r>
    </w:p>
    <w:p>
      <w:pPr>
        <w:pStyle w:val="49"/>
        <w:spacing w:before="156"/>
        <w:ind w:firstLine="480"/>
        <w:rPr>
          <w:rFonts w:hint="eastAsia" w:ascii="宋体" w:hAnsi="宋体" w:eastAsia="宋体" w:cs="宋体"/>
          <w:lang w:val="en-US" w:eastAsia="zh-CN"/>
        </w:rPr>
      </w:pPr>
      <w:r>
        <w:rPr>
          <w:rFonts w:hint="eastAsia" w:ascii="宋体" w:hAnsi="宋体" w:eastAsia="宋体" w:cs="宋体"/>
        </w:rPr>
        <w:t>企业可以通过股东投资、银行贷款、员工股权激励、原始资本积累等方式进行融资，扩大资本的积累，实现资本运营。</w:t>
      </w:r>
      <w:r>
        <w:rPr>
          <w:rFonts w:hint="eastAsia" w:ascii="宋体" w:hAnsi="宋体" w:eastAsia="宋体" w:cs="宋体"/>
          <w:lang w:val="en-US" w:eastAsia="zh-CN"/>
        </w:rPr>
        <w:t>目前，我司积极推进新三板上市的相关筹备工作。</w:t>
      </w:r>
    </w:p>
    <w:p>
      <w:pPr>
        <w:pStyle w:val="49"/>
        <w:spacing w:before="156"/>
        <w:ind w:firstLine="48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rPr>
        <w:t>、财务监控</w:t>
      </w:r>
    </w:p>
    <w:p>
      <w:pPr>
        <w:pStyle w:val="49"/>
        <w:spacing w:before="156"/>
        <w:ind w:firstLine="480"/>
        <w:rPr>
          <w:rFonts w:hint="eastAsia" w:ascii="宋体" w:hAnsi="宋体" w:eastAsia="宋体" w:cs="宋体"/>
        </w:rPr>
      </w:pPr>
      <w:r>
        <w:rPr>
          <w:rFonts w:hint="eastAsia" w:ascii="宋体" w:hAnsi="宋体" w:eastAsia="宋体" w:cs="宋体"/>
        </w:rPr>
        <w:t>财务人员要从战略高度开展财务管理工作，进行财务分析，使财务分析成为企业战略决策重要的依据，争取以最少的投入获取最大的产出，努力使财务风险降低到最低水平，绝不以追求短期的经济利益而牺牲长期利益。</w:t>
      </w:r>
    </w:p>
    <w:p>
      <w:pPr>
        <w:pStyle w:val="49"/>
        <w:spacing w:before="156"/>
        <w:ind w:firstLine="480"/>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、技术创新战略</w:t>
      </w:r>
    </w:p>
    <w:p>
      <w:pPr>
        <w:spacing w:line="540" w:lineRule="exact"/>
        <w:ind w:firstLine="480" w:firstLineChars="200"/>
        <w:rPr>
          <w:rFonts w:hint="eastAsia" w:ascii="宋体" w:hAnsi="宋体"/>
          <w:color w:val="auto"/>
          <w:sz w:val="24"/>
        </w:rPr>
      </w:pPr>
      <w:r>
        <w:rPr>
          <w:rFonts w:hint="eastAsia" w:ascii="宋体" w:hAnsi="宋体"/>
          <w:color w:val="auto"/>
          <w:sz w:val="24"/>
        </w:rPr>
        <w:t>研发中心重视</w:t>
      </w:r>
      <w:r>
        <w:rPr>
          <w:rFonts w:ascii="宋体" w:hAnsi="宋体"/>
          <w:color w:val="auto"/>
          <w:sz w:val="24"/>
        </w:rPr>
        <w:t>中</w:t>
      </w:r>
      <w:r>
        <w:rPr>
          <w:rFonts w:hint="eastAsia" w:ascii="宋体" w:hAnsi="宋体"/>
          <w:color w:val="auto"/>
          <w:sz w:val="24"/>
        </w:rPr>
        <w:t>远</w:t>
      </w:r>
      <w:r>
        <w:rPr>
          <w:rFonts w:ascii="宋体" w:hAnsi="宋体"/>
          <w:color w:val="auto"/>
          <w:sz w:val="24"/>
        </w:rPr>
        <w:t>期核心产品发展方向</w:t>
      </w:r>
      <w:r>
        <w:rPr>
          <w:rFonts w:hint="eastAsia" w:ascii="宋体" w:hAnsi="宋体"/>
          <w:color w:val="auto"/>
          <w:sz w:val="24"/>
        </w:rPr>
        <w:t>，并制定了研发中心的</w:t>
      </w:r>
      <w:r>
        <w:rPr>
          <w:rFonts w:ascii="宋体" w:hAnsi="宋体"/>
          <w:color w:val="auto"/>
          <w:sz w:val="24"/>
        </w:rPr>
        <w:t>未来</w:t>
      </w:r>
      <w:r>
        <w:rPr>
          <w:rFonts w:hint="eastAsia" w:ascii="宋体" w:hAnsi="宋体"/>
          <w:color w:val="auto"/>
          <w:sz w:val="24"/>
        </w:rPr>
        <w:t>3</w:t>
      </w:r>
      <w:r>
        <w:rPr>
          <w:rFonts w:ascii="宋体" w:hAnsi="宋体"/>
          <w:color w:val="auto"/>
          <w:sz w:val="24"/>
        </w:rPr>
        <w:t xml:space="preserve"> 年技术创新发展战略</w:t>
      </w:r>
      <w:r>
        <w:rPr>
          <w:rFonts w:hint="eastAsia" w:ascii="宋体" w:hAnsi="宋体"/>
          <w:color w:val="auto"/>
          <w:sz w:val="24"/>
        </w:rPr>
        <w:t>。公司综合分析了当前国内的行业动态及市场需求，以及公司现在的发展需求，通过不断地技术创新和技术积累，已拥有一支专业技术团队，并与大专院校建立合作协议，通过对重大关键技术的自主开发、对科研单位和高等院校科技成果研究，引进其技术，并通过消化、吸收和创新，开发具有市场前景的新产品，围绕产品开发进行相关工艺技术、材料和装备的研究开发，形成拥有自主知识产权的主导产品和专利技术，进一步做强、做大公司战略远景目标而努力。</w:t>
      </w:r>
    </w:p>
    <w:p>
      <w:pPr>
        <w:spacing w:line="540" w:lineRule="exact"/>
        <w:ind w:firstLine="360" w:firstLineChars="150"/>
        <w:rPr>
          <w:rFonts w:hint="eastAsia" w:ascii="宋体" w:hAnsi="宋体"/>
          <w:color w:val="auto"/>
          <w:sz w:val="24"/>
        </w:rPr>
      </w:pPr>
      <w:r>
        <w:rPr>
          <w:rFonts w:hint="eastAsia" w:ascii="宋体" w:hAnsi="宋体"/>
          <w:color w:val="auto"/>
          <w:sz w:val="24"/>
        </w:rPr>
        <w:t>（1）与相关高等院校、研究院所以及国内外同行建立长期的、稳定的技术交流与合作关系，促进产学研合作创新；</w:t>
      </w:r>
    </w:p>
    <w:p>
      <w:pPr>
        <w:spacing w:line="540" w:lineRule="exact"/>
        <w:ind w:firstLine="360" w:firstLineChars="150"/>
        <w:rPr>
          <w:rFonts w:hint="eastAsia" w:ascii="宋体" w:hAnsi="宋体"/>
          <w:color w:val="auto"/>
          <w:sz w:val="24"/>
        </w:rPr>
      </w:pPr>
      <w:r>
        <w:rPr>
          <w:rFonts w:hint="eastAsia" w:ascii="宋体" w:hAnsi="宋体"/>
          <w:color w:val="auto"/>
          <w:sz w:val="24"/>
        </w:rPr>
        <w:t>（2）加强与高校技术合作，加大引进技术人才，并为公司培养和储备技术人才；扩建</w:t>
      </w:r>
      <w:r>
        <w:rPr>
          <w:rFonts w:hint="eastAsia"/>
          <w:color w:val="auto"/>
          <w:sz w:val="24"/>
          <w:lang w:eastAsia="zh-CN"/>
        </w:rPr>
        <w:t>省级智能电容器</w:t>
      </w:r>
      <w:r>
        <w:rPr>
          <w:rFonts w:hint="eastAsia" w:ascii="宋体" w:hAnsi="宋体"/>
          <w:color w:val="auto"/>
          <w:sz w:val="24"/>
        </w:rPr>
        <w:t>研发中心；</w:t>
      </w:r>
    </w:p>
    <w:p>
      <w:pPr>
        <w:spacing w:line="540" w:lineRule="exact"/>
        <w:ind w:firstLine="360" w:firstLineChars="150"/>
        <w:rPr>
          <w:rFonts w:hint="eastAsia" w:ascii="宋体" w:hAnsi="宋体"/>
          <w:color w:val="auto"/>
          <w:sz w:val="24"/>
        </w:rPr>
      </w:pPr>
      <w:r>
        <w:rPr>
          <w:rFonts w:hint="eastAsia" w:ascii="宋体" w:hAnsi="宋体"/>
          <w:color w:val="auto"/>
          <w:sz w:val="24"/>
        </w:rPr>
        <w:t>（3）加大技术改造力度，购置先进的设备及产品检测设备；完成研发中心的扩建，加大资金投入，完善中心制度建设，提升整体的研发实力，争取在20</w:t>
      </w:r>
      <w:r>
        <w:rPr>
          <w:rFonts w:hint="eastAsia" w:ascii="宋体" w:hAnsi="宋体"/>
          <w:color w:val="auto"/>
          <w:sz w:val="24"/>
          <w:lang w:val="en-US" w:eastAsia="zh-CN"/>
        </w:rPr>
        <w:t>23</w:t>
      </w:r>
      <w:r>
        <w:rPr>
          <w:rFonts w:hint="eastAsia" w:ascii="宋体" w:hAnsi="宋体"/>
          <w:color w:val="auto"/>
          <w:sz w:val="24"/>
        </w:rPr>
        <w:t>年成功申报并取得浙江省级企业研发中心，申请</w:t>
      </w:r>
      <w:r>
        <w:rPr>
          <w:rFonts w:hint="eastAsia"/>
          <w:color w:val="auto"/>
          <w:sz w:val="24"/>
          <w:lang w:val="en-US" w:eastAsia="zh-CN"/>
        </w:rPr>
        <w:t>2</w:t>
      </w:r>
      <w:r>
        <w:rPr>
          <w:rFonts w:hint="eastAsia" w:ascii="宋体" w:hAnsi="宋体"/>
          <w:color w:val="auto"/>
          <w:sz w:val="24"/>
        </w:rPr>
        <w:t>件发明专利及</w:t>
      </w:r>
      <w:r>
        <w:rPr>
          <w:rFonts w:hint="eastAsia"/>
          <w:color w:val="auto"/>
          <w:sz w:val="24"/>
          <w:lang w:val="en-US" w:eastAsia="zh-CN"/>
        </w:rPr>
        <w:t>6</w:t>
      </w:r>
      <w:r>
        <w:rPr>
          <w:rFonts w:hint="eastAsia" w:ascii="宋体" w:hAnsi="宋体"/>
          <w:color w:val="auto"/>
          <w:sz w:val="24"/>
        </w:rPr>
        <w:t>件实用新型专利；计划每年开发新产品</w:t>
      </w:r>
      <w:r>
        <w:rPr>
          <w:rFonts w:hint="eastAsia"/>
          <w:color w:val="auto"/>
          <w:sz w:val="24"/>
          <w:lang w:val="en-US" w:eastAsia="zh-CN"/>
        </w:rPr>
        <w:t>5</w:t>
      </w:r>
      <w:r>
        <w:rPr>
          <w:rFonts w:hint="eastAsia" w:ascii="宋体" w:hAnsi="宋体"/>
          <w:color w:val="auto"/>
          <w:sz w:val="24"/>
        </w:rPr>
        <w:t>项以上；</w:t>
      </w:r>
    </w:p>
    <w:p>
      <w:pPr>
        <w:spacing w:line="540" w:lineRule="exact"/>
        <w:ind w:firstLine="360" w:firstLineChars="150"/>
        <w:rPr>
          <w:rFonts w:hint="eastAsia" w:ascii="宋体" w:hAnsi="宋体"/>
          <w:color w:val="auto"/>
          <w:sz w:val="24"/>
        </w:rPr>
      </w:pPr>
      <w:r>
        <w:rPr>
          <w:rFonts w:hint="eastAsia" w:ascii="宋体" w:hAnsi="宋体"/>
          <w:color w:val="auto"/>
          <w:sz w:val="24"/>
        </w:rPr>
        <w:t>（4）以市场需求为目标，贯彻市场导向原则；引进企业管理模式，力求运行体制创新；致力于开发各种新技术和新产品，吸收和借鉴国内外的各种先进技术，为促进研发中心的进一步发展， 为促进公司高速发展，并为推进行业技术共同进步而服务；</w:t>
      </w:r>
    </w:p>
    <w:p>
      <w:pPr>
        <w:spacing w:line="540" w:lineRule="exact"/>
        <w:ind w:firstLine="360" w:firstLineChars="150"/>
        <w:rPr>
          <w:rFonts w:hint="eastAsia" w:ascii="宋体" w:hAnsi="宋体"/>
          <w:color w:val="auto"/>
          <w:sz w:val="24"/>
        </w:rPr>
      </w:pPr>
      <w:r>
        <w:rPr>
          <w:rFonts w:hint="eastAsia" w:ascii="宋体" w:hAnsi="宋体"/>
          <w:color w:val="auto"/>
          <w:sz w:val="24"/>
        </w:rPr>
        <w:t xml:space="preserve">（5）公司研发中心将不断完善中心的各项制度，对研制开发小组成员实行季度及年终考核，对新开发、工艺改进项目和技术引进项目与公司的实际效益挂钩，将产品的工艺改进、新产品的研发等落实到位，并做好相关检测记录，不断开发新的产品，及时与市场对接，并加大研发经费的投入； </w:t>
      </w:r>
    </w:p>
    <w:p>
      <w:pPr>
        <w:spacing w:line="540" w:lineRule="exact"/>
        <w:ind w:firstLine="360" w:firstLineChars="150"/>
        <w:rPr>
          <w:rFonts w:hint="eastAsia" w:ascii="宋体" w:hAnsi="宋体"/>
          <w:color w:val="auto"/>
          <w:sz w:val="24"/>
        </w:rPr>
      </w:pPr>
      <w:r>
        <w:rPr>
          <w:rFonts w:hint="eastAsia" w:ascii="宋体" w:hAnsi="宋体"/>
          <w:color w:val="auto"/>
          <w:sz w:val="24"/>
        </w:rPr>
        <w:t>（6）中心后期拟通过培训和引进增加研发人员3名；通过不断自主创新，开发新技术、新工艺、新产品，计划2022年再申请发明专利</w:t>
      </w:r>
      <w:r>
        <w:rPr>
          <w:rFonts w:hint="eastAsia"/>
          <w:color w:val="auto"/>
          <w:sz w:val="24"/>
          <w:lang w:val="en-US" w:eastAsia="zh-CN"/>
        </w:rPr>
        <w:t>2</w:t>
      </w:r>
      <w:r>
        <w:rPr>
          <w:rFonts w:hint="eastAsia" w:ascii="宋体" w:hAnsi="宋体"/>
          <w:color w:val="auto"/>
          <w:sz w:val="24"/>
        </w:rPr>
        <w:t>件、申请实用新型专利</w:t>
      </w:r>
      <w:r>
        <w:rPr>
          <w:rFonts w:hint="eastAsia"/>
          <w:color w:val="auto"/>
          <w:sz w:val="24"/>
          <w:lang w:val="en-US" w:eastAsia="zh-CN"/>
        </w:rPr>
        <w:t>5</w:t>
      </w:r>
      <w:r>
        <w:rPr>
          <w:rFonts w:hint="eastAsia" w:ascii="宋体" w:hAnsi="宋体"/>
          <w:color w:val="auto"/>
          <w:sz w:val="24"/>
        </w:rPr>
        <w:t>件、开发新产品</w:t>
      </w:r>
      <w:r>
        <w:rPr>
          <w:rFonts w:hint="eastAsia"/>
          <w:color w:val="auto"/>
          <w:sz w:val="24"/>
          <w:lang w:val="en-US" w:eastAsia="zh-CN"/>
        </w:rPr>
        <w:t>6</w:t>
      </w:r>
      <w:r>
        <w:rPr>
          <w:rFonts w:hint="eastAsia" w:ascii="宋体" w:hAnsi="宋体"/>
          <w:color w:val="auto"/>
          <w:sz w:val="24"/>
        </w:rPr>
        <w:t>项，可为公司带来良好的经济效益。</w:t>
      </w:r>
    </w:p>
    <w:p>
      <w:pPr>
        <w:pStyle w:val="3"/>
        <w:numPr>
          <w:ilvl w:val="0"/>
          <w:numId w:val="1"/>
        </w:numPr>
        <w:outlineLvl w:val="1"/>
        <w:rPr>
          <w:rFonts w:hint="eastAsia" w:ascii="宋体" w:hAnsi="宋体" w:eastAsia="宋体" w:cs="宋体"/>
        </w:rPr>
      </w:pPr>
      <w:bookmarkStart w:id="8" w:name="_Toc13852"/>
      <w:r>
        <w:rPr>
          <w:rFonts w:hint="eastAsia" w:ascii="宋体" w:hAnsi="宋体" w:eastAsia="宋体" w:cs="宋体"/>
        </w:rPr>
        <w:t>企业治理</w:t>
      </w:r>
      <w:bookmarkEnd w:id="8"/>
    </w:p>
    <w:p>
      <w:pPr>
        <w:snapToGrid/>
        <w:spacing w:line="360" w:lineRule="auto"/>
        <w:ind w:firstLine="480"/>
        <w:rPr>
          <w:rFonts w:hint="eastAsia" w:ascii="宋体" w:hAnsi="宋体" w:eastAsia="宋体" w:cs="宋体"/>
        </w:rPr>
      </w:pPr>
      <w:r>
        <w:rPr>
          <w:rFonts w:hint="eastAsia" w:ascii="宋体" w:hAnsi="宋体" w:eastAsia="宋体" w:cs="宋体"/>
        </w:rPr>
        <w:t xml:space="preserve">公司一直严格遵守相关国家和地区的法律法规，努力完善企业运营管理体系，按照《公司法》和《公司章程》等治理文件和规定，结合业务发展的需要，规范并明确了股东、董事会的职责和义务，建立健全了公司的内部控制体系。  </w:t>
      </w:r>
    </w:p>
    <w:p>
      <w:pPr>
        <w:snapToGrid/>
        <w:spacing w:line="360" w:lineRule="auto"/>
        <w:ind w:firstLine="480"/>
        <w:rPr>
          <w:rFonts w:hint="eastAsia" w:ascii="宋体" w:hAnsi="宋体" w:eastAsia="宋体" w:cs="宋体"/>
        </w:rPr>
      </w:pPr>
      <w:r>
        <w:rPr>
          <w:rFonts w:hint="eastAsia" w:ascii="宋体" w:hAnsi="宋体" w:eastAsia="宋体" w:cs="宋体"/>
        </w:rPr>
        <w:t>公司以“以岗定薪、按劳取酬”为原则，实行岗位工资和绩效奖励相结合的薪酬分配方法，建立了考核与工资、奖金、调薪、晋升及培训等机制，为骨干员工和优秀人才提供中长期的激励政策，充分调动了员工的积极性和创造性，不断提高员工的满意度和忠诚度。</w:t>
      </w:r>
    </w:p>
    <w:p>
      <w:pPr>
        <w:pStyle w:val="3"/>
        <w:numPr>
          <w:ilvl w:val="0"/>
          <w:numId w:val="1"/>
        </w:numPr>
        <w:outlineLvl w:val="1"/>
        <w:rPr>
          <w:rFonts w:hint="eastAsia" w:ascii="宋体" w:hAnsi="宋体" w:eastAsia="宋体" w:cs="宋体"/>
        </w:rPr>
      </w:pPr>
      <w:bookmarkStart w:id="9" w:name="_Toc53"/>
      <w:r>
        <w:rPr>
          <w:rFonts w:hint="eastAsia" w:ascii="宋体" w:hAnsi="宋体" w:eastAsia="宋体" w:cs="宋体"/>
        </w:rPr>
        <w:t>企业文化</w:t>
      </w:r>
      <w:bookmarkEnd w:id="9"/>
    </w:p>
    <w:p>
      <w:pPr>
        <w:spacing w:before="156" w:beforeLines="50" w:line="30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哥伦</w:t>
      </w:r>
      <w:r>
        <w:rPr>
          <w:rFonts w:hint="eastAsia" w:ascii="宋体" w:hAnsi="宋体" w:eastAsia="宋体" w:cs="宋体"/>
          <w:sz w:val="24"/>
          <w:szCs w:val="24"/>
        </w:rPr>
        <w:t>十分注重公司的企业文化建设，经过多年的不断优化和深华，公司形成了自己的价值观体系。</w:t>
      </w:r>
    </w:p>
    <w:bookmarkEnd w:id="6"/>
    <w:p>
      <w:pPr>
        <w:pageBreakBefore w:val="0"/>
        <w:widowControl/>
        <w:kinsoku/>
        <w:wordWrap/>
        <w:overflowPunct/>
        <w:topLinePunct w:val="0"/>
        <w:autoSpaceDE/>
        <w:autoSpaceDN/>
        <w:bidi w:val="0"/>
        <w:spacing w:before="156" w:beforeLines="50" w:line="360" w:lineRule="auto"/>
        <w:ind w:left="0" w:leftChars="0" w:firstLine="0" w:firstLineChars="0"/>
        <w:textAlignment w:val="auto"/>
        <w:rPr>
          <w:rFonts w:hint="eastAsia" w:ascii="宋体" w:hAnsi="宋体" w:eastAsia="宋体" w:cs="宋体"/>
          <w:sz w:val="24"/>
          <w:szCs w:val="24"/>
          <w:lang w:val="en-US" w:eastAsia="zh-CN"/>
        </w:rPr>
      </w:pPr>
      <w:bookmarkStart w:id="10" w:name="_Toc524013532"/>
      <w:r>
        <w:rPr>
          <w:rFonts w:hint="eastAsia" w:ascii="宋体" w:hAnsi="宋体" w:eastAsia="宋体" w:cs="宋体"/>
          <w:b/>
          <w:bCs/>
          <w:sz w:val="24"/>
          <w:szCs w:val="24"/>
        </w:rPr>
        <w:t>企业使命:</w:t>
      </w:r>
      <w:r>
        <w:rPr>
          <w:rFonts w:hint="eastAsia" w:ascii="宋体" w:hAnsi="宋体" w:eastAsia="宋体" w:cs="宋体"/>
          <w:b/>
          <w:bCs/>
          <w:sz w:val="24"/>
          <w:szCs w:val="24"/>
          <w:lang w:val="en-US" w:eastAsia="zh-CN"/>
        </w:rPr>
        <w:t xml:space="preserve"> </w:t>
      </w:r>
      <w:r>
        <w:rPr>
          <w:rFonts w:hint="eastAsia" w:ascii="宋体" w:hAnsi="宋体" w:eastAsia="宋体" w:cs="宋体"/>
          <w:color w:val="auto"/>
          <w:lang w:val="en-US" w:eastAsia="zh-CN"/>
        </w:rPr>
        <w:t>安全用电 哥伦护航</w:t>
      </w:r>
    </w:p>
    <w:p>
      <w:pPr>
        <w:keepNext w:val="0"/>
        <w:keepLines w:val="0"/>
        <w:numPr>
          <w:ilvl w:val="0"/>
          <w:numId w:val="2"/>
        </w:numPr>
        <w:suppressLineNumbers w:val="0"/>
        <w:spacing w:before="0" w:beforeAutospacing="0" w:after="0" w:afterAutospacing="0"/>
        <w:ind w:right="0"/>
        <w:rPr>
          <w:rFonts w:hint="eastAsia" w:cs="宋体"/>
          <w:color w:val="auto"/>
          <w:lang w:val="en-US" w:eastAsia="zh-CN"/>
        </w:rPr>
      </w:pPr>
      <w:r>
        <w:rPr>
          <w:rFonts w:hint="eastAsia" w:cs="宋体"/>
          <w:color w:val="auto"/>
          <w:lang w:val="en-US" w:eastAsia="zh-CN"/>
        </w:rPr>
        <w:t xml:space="preserve">始终致力于推动绿色智能电网的建设与发展， </w:t>
      </w:r>
    </w:p>
    <w:p>
      <w:pPr>
        <w:keepNext w:val="0"/>
        <w:keepLines w:val="0"/>
        <w:numPr>
          <w:ilvl w:val="0"/>
          <w:numId w:val="2"/>
        </w:numPr>
        <w:suppressLineNumbers w:val="0"/>
        <w:spacing w:before="0" w:beforeAutospacing="0" w:after="0" w:afterAutospacing="0"/>
        <w:ind w:right="0"/>
        <w:rPr>
          <w:rFonts w:hint="eastAsia" w:cs="宋体"/>
          <w:color w:val="auto"/>
          <w:lang w:val="en-US" w:eastAsia="zh-CN"/>
        </w:rPr>
      </w:pPr>
      <w:r>
        <w:rPr>
          <w:rFonts w:hint="default" w:cs="宋体"/>
          <w:color w:val="auto"/>
          <w:lang w:val="en-US" w:eastAsia="zh-CN"/>
        </w:rPr>
        <w:t xml:space="preserve">充分发挥电能治理行业“领头雁”的作用， </w:t>
      </w:r>
    </w:p>
    <w:p>
      <w:pPr>
        <w:keepNext w:val="0"/>
        <w:keepLines w:val="0"/>
        <w:numPr>
          <w:ilvl w:val="0"/>
          <w:numId w:val="2"/>
        </w:numPr>
        <w:suppressLineNumbers w:val="0"/>
        <w:spacing w:before="0" w:beforeAutospacing="0" w:after="0" w:afterAutospacing="0"/>
        <w:ind w:right="0"/>
        <w:rPr>
          <w:rFonts w:hint="eastAsia" w:ascii="宋体" w:hAnsi="宋体" w:eastAsia="宋体" w:cs="宋体"/>
          <w:lang w:val="en-US" w:eastAsia="zh-CN"/>
        </w:rPr>
      </w:pPr>
      <w:r>
        <w:rPr>
          <w:rFonts w:hint="default" w:cs="宋体"/>
          <w:color w:val="auto"/>
          <w:lang w:val="en-US" w:eastAsia="zh-CN"/>
        </w:rPr>
        <w:t>创建社会满意、员工发展、股东合力、客户信赖的具有行业标杆型的现代国际化企业。</w:t>
      </w:r>
    </w:p>
    <w:p>
      <w:pPr>
        <w:pageBreakBefore w:val="0"/>
        <w:widowControl/>
        <w:kinsoku/>
        <w:wordWrap/>
        <w:overflowPunct/>
        <w:topLinePunct w:val="0"/>
        <w:autoSpaceDE/>
        <w:autoSpaceDN/>
        <w:bidi w:val="0"/>
        <w:spacing w:before="156" w:beforeLines="50"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企业愿景:</w:t>
      </w:r>
      <w:r>
        <w:rPr>
          <w:rFonts w:hint="eastAsia" w:ascii="宋体" w:hAnsi="宋体" w:cs="宋体"/>
          <w:b/>
          <w:bCs/>
          <w:sz w:val="24"/>
          <w:szCs w:val="24"/>
          <w:lang w:val="en-US" w:eastAsia="zh-CN"/>
        </w:rPr>
        <w:t xml:space="preserve">  </w:t>
      </w:r>
      <w:r>
        <w:rPr>
          <w:rFonts w:hint="eastAsia" w:ascii="宋体" w:hAnsi="宋体" w:eastAsia="宋体" w:cs="宋体"/>
          <w:color w:val="auto"/>
          <w:lang w:val="en-US" w:eastAsia="zh-CN"/>
        </w:rPr>
        <w:t>配电行业</w:t>
      </w:r>
      <w:r>
        <w:rPr>
          <w:rFonts w:hint="eastAsia" w:ascii="宋体" w:hAnsi="宋体" w:eastAsia="宋体" w:cs="宋体"/>
          <w:color w:val="auto"/>
        </w:rPr>
        <w:t>领跑者</w:t>
      </w:r>
    </w:p>
    <w:p>
      <w:pPr>
        <w:numPr>
          <w:ilvl w:val="0"/>
          <w:numId w:val="2"/>
        </w:numPr>
        <w:rPr>
          <w:rFonts w:hint="default" w:cs="宋体"/>
          <w:color w:val="auto"/>
          <w:lang w:val="en-US" w:eastAsia="zh-CN"/>
        </w:rPr>
      </w:pPr>
      <w:r>
        <w:rPr>
          <w:rFonts w:hint="eastAsia" w:cs="宋体"/>
          <w:color w:val="auto"/>
          <w:lang w:val="en-US" w:eastAsia="zh-CN"/>
        </w:rPr>
        <w:t>倡导绿色产品，减少资源损耗</w:t>
      </w:r>
      <w:r>
        <w:rPr>
          <w:rFonts w:hint="eastAsia" w:cs="宋体"/>
          <w:color w:val="auto"/>
          <w:szCs w:val="21"/>
          <w:lang w:val="en-US" w:eastAsia="zh-CN"/>
        </w:rPr>
        <w:t>。</w:t>
      </w:r>
    </w:p>
    <w:p>
      <w:pPr>
        <w:numPr>
          <w:ilvl w:val="0"/>
          <w:numId w:val="2"/>
        </w:numPr>
        <w:rPr>
          <w:rFonts w:hint="default" w:cs="宋体"/>
          <w:color w:val="auto"/>
          <w:lang w:val="en-US" w:eastAsia="zh-CN"/>
        </w:rPr>
      </w:pPr>
      <w:r>
        <w:rPr>
          <w:rFonts w:hint="default" w:cs="宋体"/>
          <w:color w:val="auto"/>
          <w:lang w:val="en-US" w:eastAsia="zh-CN"/>
        </w:rPr>
        <w:t>打造具有广泛影响力的强势品牌，提升综合竞争力， 通过不懈努力，让</w:t>
      </w:r>
      <w:r>
        <w:rPr>
          <w:rFonts w:hint="eastAsia" w:cs="宋体"/>
          <w:color w:val="auto"/>
          <w:lang w:val="en-US" w:eastAsia="zh-CN"/>
        </w:rPr>
        <w:t>哥伦</w:t>
      </w:r>
      <w:r>
        <w:rPr>
          <w:rFonts w:hint="default" w:cs="宋体"/>
          <w:color w:val="auto"/>
          <w:lang w:val="en-US" w:eastAsia="zh-CN"/>
        </w:rPr>
        <w:t>电气产品遍及全球。</w:t>
      </w:r>
    </w:p>
    <w:p>
      <w:pPr>
        <w:numPr>
          <w:ilvl w:val="0"/>
          <w:numId w:val="0"/>
        </w:numPr>
        <w:rPr>
          <w:rFonts w:hint="eastAsia" w:ascii="宋体" w:hAnsi="宋体" w:eastAsia="宋体" w:cs="宋体"/>
          <w:color w:val="auto"/>
          <w:lang w:val="en-US" w:eastAsia="zh-CN"/>
        </w:rPr>
      </w:pPr>
      <w:r>
        <w:rPr>
          <w:rFonts w:hint="eastAsia" w:ascii="宋体" w:hAnsi="宋体" w:eastAsia="宋体" w:cs="宋体"/>
          <w:b/>
          <w:bCs/>
          <w:sz w:val="24"/>
          <w:szCs w:val="24"/>
        </w:rPr>
        <w:t>企业价值观:</w:t>
      </w:r>
      <w:r>
        <w:rPr>
          <w:rFonts w:hint="eastAsia" w:ascii="宋体" w:hAnsi="宋体" w:eastAsia="宋体" w:cs="宋体"/>
          <w:color w:val="auto"/>
          <w:lang w:val="en-US" w:eastAsia="zh-CN"/>
        </w:rPr>
        <w:t>以质量求生存，用创新谋发展</w:t>
      </w:r>
    </w:p>
    <w:p>
      <w:pPr>
        <w:keepNext w:val="0"/>
        <w:keepLines w:val="0"/>
        <w:numPr>
          <w:ilvl w:val="0"/>
          <w:numId w:val="2"/>
        </w:numPr>
        <w:suppressLineNumbers w:val="0"/>
        <w:spacing w:before="0" w:beforeAutospacing="0" w:after="0" w:afterAutospacing="0"/>
        <w:ind w:right="0"/>
        <w:rPr>
          <w:rFonts w:hint="default" w:cs="宋体"/>
          <w:color w:val="auto"/>
          <w:lang w:val="en-US" w:eastAsia="zh-CN"/>
        </w:rPr>
      </w:pPr>
      <w:r>
        <w:rPr>
          <w:rFonts w:hint="default" w:cs="宋体"/>
          <w:color w:val="auto"/>
          <w:lang w:val="en-US" w:eastAsia="zh-CN"/>
        </w:rPr>
        <w:t xml:space="preserve">遵循市场需求，注重客户体验； </w:t>
      </w:r>
    </w:p>
    <w:p>
      <w:pPr>
        <w:keepNext w:val="0"/>
        <w:keepLines w:val="0"/>
        <w:numPr>
          <w:ilvl w:val="0"/>
          <w:numId w:val="2"/>
        </w:numPr>
        <w:suppressLineNumbers w:val="0"/>
        <w:spacing w:before="0" w:beforeAutospacing="0" w:after="0" w:afterAutospacing="0"/>
        <w:ind w:right="0"/>
        <w:rPr>
          <w:rFonts w:hint="default" w:cs="宋体"/>
          <w:color w:val="auto"/>
          <w:lang w:val="en-US" w:eastAsia="zh-CN"/>
        </w:rPr>
      </w:pPr>
      <w:r>
        <w:rPr>
          <w:rFonts w:hint="default" w:cs="宋体"/>
          <w:color w:val="auto"/>
          <w:lang w:val="en-US" w:eastAsia="zh-CN"/>
        </w:rPr>
        <w:t xml:space="preserve">不遗余力，以更智能、创新的产品与解决方案 </w:t>
      </w:r>
    </w:p>
    <w:p>
      <w:pPr>
        <w:numPr>
          <w:ilvl w:val="0"/>
          <w:numId w:val="2"/>
        </w:numPr>
        <w:rPr>
          <w:rFonts w:hint="eastAsia" w:ascii="宋体" w:hAnsi="宋体" w:eastAsia="宋体" w:cs="宋体"/>
        </w:rPr>
      </w:pPr>
      <w:r>
        <w:rPr>
          <w:rFonts w:hint="default" w:cs="宋体"/>
          <w:color w:val="auto"/>
          <w:lang w:val="en-US" w:eastAsia="zh-CN"/>
        </w:rPr>
        <w:t>服务于电力的安全与高效传输</w:t>
      </w:r>
      <w:r>
        <w:rPr>
          <w:rFonts w:hint="eastAsia" w:ascii="Times New Roman" w:hAnsi="Times New Roman" w:cs="宋体"/>
          <w:color w:val="auto"/>
          <w:szCs w:val="21"/>
          <w:lang w:val="en-US" w:eastAsia="zh-CN"/>
        </w:rPr>
        <w:t>。</w:t>
      </w:r>
    </w:p>
    <w:p>
      <w:pPr>
        <w:pStyle w:val="3"/>
        <w:numPr>
          <w:ilvl w:val="0"/>
          <w:numId w:val="1"/>
        </w:numPr>
        <w:adjustRightInd/>
        <w:snapToGrid/>
        <w:spacing w:before="260" w:after="0" w:line="360" w:lineRule="auto"/>
        <w:outlineLvl w:val="1"/>
        <w:rPr>
          <w:rFonts w:hint="eastAsia" w:ascii="宋体" w:hAnsi="宋体" w:eastAsia="宋体" w:cs="宋体"/>
        </w:rPr>
      </w:pPr>
      <w:bookmarkStart w:id="11" w:name="_Toc22814"/>
      <w:r>
        <w:rPr>
          <w:rFonts w:hint="eastAsia" w:ascii="宋体" w:hAnsi="宋体" w:eastAsia="宋体" w:cs="宋体"/>
          <w:lang w:val="en-US" w:eastAsia="zh-CN"/>
        </w:rPr>
        <w:t>近期</w:t>
      </w:r>
      <w:r>
        <w:rPr>
          <w:rFonts w:hint="eastAsia" w:ascii="宋体" w:hAnsi="宋体" w:eastAsia="宋体" w:cs="宋体"/>
        </w:rPr>
        <w:t>所获荣誉</w:t>
      </w:r>
      <w:bookmarkEnd w:id="11"/>
    </w:p>
    <w:tbl>
      <w:tblPr>
        <w:tblStyle w:val="23"/>
        <w:tblW w:w="8385"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FFFFFF" w:themeFill="background1"/>
        <w:tblLayout w:type="fixed"/>
        <w:tblCellMar>
          <w:top w:w="0" w:type="dxa"/>
          <w:left w:w="108" w:type="dxa"/>
          <w:bottom w:w="0" w:type="dxa"/>
          <w:right w:w="108" w:type="dxa"/>
        </w:tblCellMar>
      </w:tblPr>
      <w:tblGrid>
        <w:gridCol w:w="872"/>
        <w:gridCol w:w="2784"/>
        <w:gridCol w:w="3347"/>
        <w:gridCol w:w="138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PrEx>
        <w:trPr>
          <w:trHeight w:val="567" w:hRule="atLeast"/>
          <w:tblHeader/>
          <w:jc w:val="center"/>
        </w:trPr>
        <w:tc>
          <w:tcPr>
            <w:tcW w:w="872" w:type="dxa"/>
            <w:tcBorders>
              <w:tl2br w:val="nil"/>
              <w:tr2bl w:val="nil"/>
            </w:tcBorders>
            <w:shd w:val="clear" w:color="auto" w:fill="FFFFFF" w:themeFill="background1"/>
            <w:vAlign w:val="center"/>
          </w:tcPr>
          <w:p>
            <w:pPr>
              <w:spacing w:line="240" w:lineRule="auto"/>
              <w:ind w:firstLine="0" w:firstLineChars="0"/>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784" w:type="dxa"/>
            <w:tcBorders>
              <w:tl2br w:val="nil"/>
              <w:tr2bl w:val="nil"/>
            </w:tcBorders>
            <w:shd w:val="clear" w:color="auto" w:fill="FFFFFF" w:themeFill="background1"/>
            <w:vAlign w:val="center"/>
          </w:tcPr>
          <w:p>
            <w:pPr>
              <w:spacing w:line="240" w:lineRule="auto"/>
              <w:ind w:firstLine="0" w:firstLineChars="0"/>
              <w:jc w:val="center"/>
              <w:rPr>
                <w:rFonts w:hint="eastAsia" w:ascii="宋体" w:hAnsi="宋体" w:eastAsia="宋体" w:cs="宋体"/>
                <w:b/>
                <w:sz w:val="24"/>
                <w:szCs w:val="24"/>
              </w:rPr>
            </w:pPr>
            <w:r>
              <w:rPr>
                <w:rFonts w:hint="eastAsia" w:ascii="宋体" w:hAnsi="宋体" w:eastAsia="宋体" w:cs="宋体"/>
                <w:b/>
                <w:sz w:val="24"/>
                <w:szCs w:val="24"/>
              </w:rPr>
              <w:t>荣誉名称</w:t>
            </w:r>
          </w:p>
        </w:tc>
        <w:tc>
          <w:tcPr>
            <w:tcW w:w="3347" w:type="dxa"/>
            <w:tcBorders>
              <w:tl2br w:val="nil"/>
              <w:tr2bl w:val="nil"/>
            </w:tcBorders>
            <w:shd w:val="clear" w:color="auto" w:fill="FFFFFF" w:themeFill="background1"/>
            <w:vAlign w:val="center"/>
          </w:tcPr>
          <w:p>
            <w:pPr>
              <w:spacing w:line="240" w:lineRule="auto"/>
              <w:ind w:firstLine="0" w:firstLineChars="0"/>
              <w:jc w:val="center"/>
              <w:rPr>
                <w:rFonts w:hint="eastAsia" w:ascii="宋体" w:hAnsi="宋体" w:eastAsia="宋体" w:cs="宋体"/>
                <w:b/>
                <w:sz w:val="24"/>
                <w:szCs w:val="24"/>
              </w:rPr>
            </w:pPr>
            <w:r>
              <w:rPr>
                <w:rFonts w:hint="eastAsia" w:ascii="宋体" w:hAnsi="宋体" w:eastAsia="宋体" w:cs="宋体"/>
                <w:b/>
                <w:sz w:val="24"/>
                <w:szCs w:val="24"/>
              </w:rPr>
              <w:t>颁发单位</w:t>
            </w:r>
          </w:p>
        </w:tc>
        <w:tc>
          <w:tcPr>
            <w:tcW w:w="1382" w:type="dxa"/>
            <w:tcBorders>
              <w:tl2br w:val="nil"/>
              <w:tr2bl w:val="nil"/>
            </w:tcBorders>
            <w:shd w:val="clear" w:color="auto" w:fill="FFFFFF" w:themeFill="background1"/>
            <w:vAlign w:val="center"/>
          </w:tcPr>
          <w:p>
            <w:pPr>
              <w:spacing w:line="240" w:lineRule="auto"/>
              <w:ind w:firstLine="0" w:firstLineChars="0"/>
              <w:jc w:val="center"/>
              <w:rPr>
                <w:rFonts w:hint="eastAsia" w:ascii="宋体" w:hAnsi="宋体" w:eastAsia="宋体" w:cs="宋体"/>
                <w:b/>
                <w:sz w:val="24"/>
                <w:szCs w:val="24"/>
              </w:rPr>
            </w:pPr>
            <w:r>
              <w:rPr>
                <w:rFonts w:hint="eastAsia" w:ascii="宋体" w:hAnsi="宋体" w:eastAsia="宋体" w:cs="宋体"/>
                <w:b/>
                <w:sz w:val="24"/>
                <w:szCs w:val="24"/>
              </w:rPr>
              <w:t>时间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872" w:type="dxa"/>
            <w:tcBorders>
              <w:tl2br w:val="nil"/>
              <w:tr2bl w:val="nil"/>
            </w:tcBorders>
            <w:shd w:val="clear" w:color="auto" w:fill="FFFFFF" w:themeFill="background1"/>
            <w:vAlign w:val="center"/>
          </w:tcPr>
          <w:p>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784" w:type="dxa"/>
            <w:tcBorders>
              <w:tl2br w:val="nil"/>
              <w:tr2bl w:val="nil"/>
            </w:tcBorders>
            <w:shd w:val="clear" w:color="auto" w:fill="FFFFFF" w:themeFill="background1"/>
            <w:vAlign w:val="top"/>
          </w:tcPr>
          <w:p>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重合同守信用单位</w:t>
            </w:r>
          </w:p>
        </w:tc>
        <w:tc>
          <w:tcPr>
            <w:tcW w:w="3347" w:type="dxa"/>
            <w:tcBorders>
              <w:tl2br w:val="nil"/>
              <w:tr2bl w:val="nil"/>
            </w:tcBorders>
            <w:shd w:val="clear" w:color="auto" w:fill="FFFFFF" w:themeFill="background1"/>
            <w:vAlign w:val="top"/>
          </w:tcPr>
          <w:p>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乐清市人民政府</w:t>
            </w:r>
          </w:p>
        </w:tc>
        <w:tc>
          <w:tcPr>
            <w:tcW w:w="1382" w:type="dxa"/>
            <w:tcBorders>
              <w:tl2br w:val="nil"/>
              <w:tr2bl w:val="nil"/>
            </w:tcBorders>
            <w:shd w:val="clear" w:color="auto" w:fill="FFFFFF" w:themeFill="background1"/>
            <w:vAlign w:val="center"/>
          </w:tcPr>
          <w:p>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20</w:t>
            </w:r>
            <w:r>
              <w:rPr>
                <w:rFonts w:hint="eastAsia" w:ascii="宋体" w:hAnsi="宋体" w:eastAsia="宋体" w:cs="宋体"/>
                <w:sz w:val="24"/>
                <w:szCs w:val="24"/>
                <w:lang w:val="en-US" w:eastAsia="zh-CN"/>
              </w:rPr>
              <w:t>20</w:t>
            </w:r>
            <w:r>
              <w:rPr>
                <w:rFonts w:hint="eastAsia" w:ascii="宋体" w:hAnsi="宋体" w:eastAsia="宋体" w:cs="宋体"/>
                <w:sz w:val="24"/>
                <w:szCs w:val="24"/>
                <w:lang w:val="en-US" w:eastAsia="zh-CN"/>
              </w:rPr>
              <w:t>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872" w:type="dxa"/>
            <w:tcBorders>
              <w:tl2br w:val="nil"/>
              <w:tr2bl w:val="nil"/>
            </w:tcBorders>
            <w:shd w:val="clear" w:color="auto" w:fill="FFFFFF" w:themeFill="background1"/>
            <w:vAlign w:val="center"/>
          </w:tcPr>
          <w:p>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784" w:type="dxa"/>
            <w:tcBorders>
              <w:tl2br w:val="nil"/>
              <w:tr2bl w:val="nil"/>
            </w:tcBorders>
            <w:shd w:val="clear" w:color="auto" w:fill="FFFFFF" w:themeFill="background1"/>
            <w:vAlign w:val="top"/>
          </w:tcPr>
          <w:p>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浙江省乐清市专利协会理事</w:t>
            </w:r>
          </w:p>
        </w:tc>
        <w:tc>
          <w:tcPr>
            <w:tcW w:w="3347" w:type="dxa"/>
            <w:tcBorders>
              <w:tl2br w:val="nil"/>
              <w:tr2bl w:val="nil"/>
            </w:tcBorders>
            <w:shd w:val="clear" w:color="auto" w:fill="FFFFFF" w:themeFill="background1"/>
            <w:vAlign w:val="top"/>
          </w:tcPr>
          <w:p>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浙江省乐清市专利协会</w:t>
            </w:r>
          </w:p>
        </w:tc>
        <w:tc>
          <w:tcPr>
            <w:tcW w:w="1382" w:type="dxa"/>
            <w:tcBorders>
              <w:tl2br w:val="nil"/>
              <w:tr2bl w:val="nil"/>
            </w:tcBorders>
            <w:shd w:val="clear" w:color="auto" w:fill="FFFFFF" w:themeFill="background1"/>
            <w:vAlign w:val="center"/>
          </w:tcPr>
          <w:p>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2021</w:t>
            </w:r>
            <w:r>
              <w:rPr>
                <w:rFonts w:hint="eastAsia" w:ascii="宋体" w:hAnsi="宋体" w:eastAsia="宋体" w:cs="宋体"/>
                <w:sz w:val="24"/>
                <w:szCs w:val="24"/>
                <w:lang w:val="en-US" w:eastAsia="zh-CN"/>
              </w:rPr>
              <w:t>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872" w:type="dxa"/>
            <w:tcBorders>
              <w:tl2br w:val="nil"/>
              <w:tr2bl w:val="nil"/>
            </w:tcBorders>
            <w:shd w:val="clear" w:color="auto" w:fill="FFFFFF" w:themeFill="background1"/>
            <w:vAlign w:val="center"/>
          </w:tcPr>
          <w:p>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784" w:type="dxa"/>
            <w:tcBorders>
              <w:tl2br w:val="nil"/>
              <w:tr2bl w:val="nil"/>
            </w:tcBorders>
            <w:shd w:val="clear" w:color="auto" w:fill="FFFFFF" w:themeFill="background1"/>
            <w:vAlign w:val="top"/>
          </w:tcPr>
          <w:p>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乐清市民营企业协会会员</w:t>
            </w:r>
          </w:p>
        </w:tc>
        <w:tc>
          <w:tcPr>
            <w:tcW w:w="3347" w:type="dxa"/>
            <w:tcBorders>
              <w:tl2br w:val="nil"/>
              <w:tr2bl w:val="nil"/>
            </w:tcBorders>
            <w:shd w:val="clear" w:color="auto" w:fill="FFFFFF" w:themeFill="background1"/>
            <w:vAlign w:val="top"/>
          </w:tcPr>
          <w:p>
            <w:pPr>
              <w:spacing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乐清市民营企业协会</w:t>
            </w:r>
          </w:p>
        </w:tc>
        <w:tc>
          <w:tcPr>
            <w:tcW w:w="1382" w:type="dxa"/>
            <w:tcBorders>
              <w:tl2br w:val="nil"/>
              <w:tr2bl w:val="nil"/>
            </w:tcBorders>
            <w:shd w:val="clear" w:color="auto" w:fill="FFFFFF" w:themeFill="background1"/>
            <w:vAlign w:val="center"/>
          </w:tcPr>
          <w:p>
            <w:pPr>
              <w:spacing w:line="240" w:lineRule="auto"/>
              <w:ind w:firstLine="0" w:firstLineChars="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2021年</w:t>
            </w:r>
          </w:p>
        </w:tc>
      </w:tr>
    </w:tbl>
    <w:p>
      <w:pPr>
        <w:pStyle w:val="3"/>
        <w:numPr>
          <w:ilvl w:val="0"/>
          <w:numId w:val="1"/>
        </w:numPr>
        <w:adjustRightInd/>
        <w:snapToGrid/>
        <w:spacing w:before="260" w:after="0" w:line="360" w:lineRule="auto"/>
        <w:outlineLvl w:val="1"/>
        <w:rPr>
          <w:rFonts w:hint="eastAsia" w:ascii="宋体" w:hAnsi="宋体" w:eastAsia="宋体" w:cs="宋体"/>
        </w:rPr>
      </w:pPr>
      <w:bookmarkStart w:id="12" w:name="_Toc18873"/>
      <w:r>
        <w:rPr>
          <w:rFonts w:hint="eastAsia" w:ascii="宋体" w:hAnsi="宋体" w:eastAsia="宋体" w:cs="宋体"/>
        </w:rPr>
        <w:t>社会责任</w:t>
      </w:r>
      <w:bookmarkEnd w:id="12"/>
    </w:p>
    <w:p>
      <w:pPr>
        <w:pStyle w:val="29"/>
        <w:adjustRightInd/>
        <w:snapToGrid/>
        <w:spacing w:line="360" w:lineRule="auto"/>
        <w:ind w:firstLine="480"/>
        <w:rPr>
          <w:rFonts w:hint="eastAsia" w:ascii="宋体" w:hAnsi="宋体" w:eastAsia="宋体" w:cs="宋体"/>
          <w:szCs w:val="24"/>
        </w:rPr>
      </w:pPr>
      <w:r>
        <w:rPr>
          <w:rFonts w:hint="eastAsia" w:ascii="宋体" w:hAnsi="宋体" w:cs="宋体"/>
          <w:szCs w:val="24"/>
          <w:lang w:val="en-US" w:eastAsia="zh-CN"/>
        </w:rPr>
        <w:t>哥伦</w:t>
      </w:r>
      <w:r>
        <w:rPr>
          <w:rFonts w:hint="eastAsia" w:ascii="宋体" w:hAnsi="宋体" w:eastAsia="宋体" w:cs="宋体"/>
          <w:szCs w:val="24"/>
        </w:rPr>
        <w:t>积极探索和实践社会责任管理，把社会责任管理体系融入公司战略、企业文化和日常运营，坚持负责任地对待利益相关方，不断推动企业与社会、环境的和谐发展，致力实现社会价值最大化和可持续发展。</w:t>
      </w:r>
    </w:p>
    <w:p>
      <w:pPr>
        <w:adjustRightInd/>
        <w:snapToGrid/>
        <w:spacing w:line="360" w:lineRule="auto"/>
        <w:ind w:firstLine="480"/>
        <w:rPr>
          <w:rFonts w:hint="eastAsia" w:ascii="宋体" w:hAnsi="宋体" w:eastAsia="宋体" w:cs="宋体"/>
          <w:color w:val="000000"/>
          <w:szCs w:val="24"/>
        </w:rPr>
      </w:pPr>
      <w:r>
        <w:rPr>
          <w:rFonts w:hint="eastAsia" w:ascii="宋体" w:hAnsi="宋体" w:cs="宋体"/>
          <w:color w:val="000000"/>
          <w:szCs w:val="24"/>
          <w:lang w:val="en-US" w:eastAsia="zh-CN"/>
        </w:rPr>
        <w:t>哥伦</w:t>
      </w:r>
      <w:r>
        <w:rPr>
          <w:rFonts w:hint="eastAsia" w:ascii="宋体" w:hAnsi="宋体" w:eastAsia="宋体" w:cs="宋体"/>
          <w:color w:val="000000"/>
          <w:szCs w:val="24"/>
        </w:rPr>
        <w:t xml:space="preserve">承诺遵守企业社会责任行为守则和当地法律法规以及与本公司签署的各项规章等承诺。本公司愿意肩负社会责任，贯彻始终，若对社会责任有违背的地方，不断改善，并透过适当的渠道，对公众公开。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本公司现向各界郑重承诺：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1、公司遵守国家劳动法规、环保法规及相关法规。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2、禁止使用童工和强迫劳动，不接受任何用童工、囚工或强迫劳工的供应商或分包商。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3、所有员工一视同仁，不拘性别、不拘种族、不拘宗教、不拘社会归属，反对歧视。尊重员工的基本人权，禁止任何形式的侮辱人格行为。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4、提供安全卫生的工作和生活条件，确保员工的健康与安全。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5、推动劳资合作，尊重员工的结社自由和集体谈判权。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6、合理安排生产计划，合理安排工人的工作时间和休息休假。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7、提供合理的工资福利，符合法律法规的相关规定。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8、持续改善工作条件和员工福利。 </w:t>
      </w:r>
    </w:p>
    <w:p>
      <w:pPr>
        <w:pStyle w:val="29"/>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9、节能减排，保护环境，共建和谐，造福社会。 </w:t>
      </w:r>
    </w:p>
    <w:p>
      <w:pPr>
        <w:adjustRightInd/>
        <w:snapToGrid/>
        <w:spacing w:line="360" w:lineRule="auto"/>
        <w:ind w:firstLine="480"/>
        <w:rPr>
          <w:rFonts w:hint="eastAsia" w:ascii="宋体" w:hAnsi="宋体" w:eastAsia="宋体" w:cs="宋体"/>
        </w:rPr>
      </w:pPr>
      <w:r>
        <w:rPr>
          <w:rFonts w:hint="eastAsia" w:ascii="宋体" w:hAnsi="宋体" w:eastAsia="宋体" w:cs="宋体"/>
        </w:rPr>
        <w:t>同时，公司结合自身业务和运营特点，通过科学的方法进行利益相关方识别，不断加强沟通交流，了解各方在社会责任领域的诉求，并用社会责任实践积极回应和满足各个利益相关方关注的议题，促进利益相关方参与，积极构建和谐共赢的利益相关方关系。</w:t>
      </w:r>
    </w:p>
    <w:tbl>
      <w:tblPr>
        <w:tblStyle w:val="23"/>
        <w:tblW w:w="8315"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19"/>
        <w:gridCol w:w="3402"/>
        <w:gridCol w:w="339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tblHeader/>
          <w:jc w:val="center"/>
        </w:trPr>
        <w:tc>
          <w:tcPr>
            <w:tcW w:w="1519" w:type="dxa"/>
            <w:tcBorders>
              <w:tl2br w:val="nil"/>
              <w:tr2bl w:val="nil"/>
            </w:tcBorders>
            <w:shd w:val="clear" w:color="auto" w:fill="auto"/>
            <w:vAlign w:val="center"/>
          </w:tcPr>
          <w:p>
            <w:pPr>
              <w:spacing w:line="240" w:lineRule="auto"/>
              <w:ind w:firstLine="0" w:firstLineChars="0"/>
              <w:jc w:val="center"/>
              <w:rPr>
                <w:rFonts w:hint="eastAsia" w:ascii="宋体" w:hAnsi="宋体" w:eastAsia="宋体" w:cs="宋体"/>
                <w:b/>
              </w:rPr>
            </w:pPr>
            <w:r>
              <w:rPr>
                <w:rFonts w:hint="eastAsia" w:ascii="宋体" w:hAnsi="宋体" w:eastAsia="宋体" w:cs="宋体"/>
                <w:b/>
              </w:rPr>
              <w:t>利益相关方</w:t>
            </w:r>
          </w:p>
        </w:tc>
        <w:tc>
          <w:tcPr>
            <w:tcW w:w="3402" w:type="dxa"/>
            <w:tcBorders>
              <w:tl2br w:val="nil"/>
              <w:tr2bl w:val="nil"/>
            </w:tcBorders>
            <w:shd w:val="clear" w:color="auto" w:fill="auto"/>
            <w:vAlign w:val="center"/>
          </w:tcPr>
          <w:p>
            <w:pPr>
              <w:spacing w:line="240" w:lineRule="auto"/>
              <w:ind w:firstLine="0" w:firstLineChars="0"/>
              <w:jc w:val="center"/>
              <w:rPr>
                <w:rFonts w:hint="eastAsia" w:ascii="宋体" w:hAnsi="宋体" w:eastAsia="宋体" w:cs="宋体"/>
                <w:b/>
              </w:rPr>
            </w:pPr>
            <w:r>
              <w:rPr>
                <w:rFonts w:hint="eastAsia" w:ascii="宋体" w:hAnsi="宋体" w:eastAsia="宋体" w:cs="宋体"/>
                <w:b/>
              </w:rPr>
              <w:t>要求与期望</w:t>
            </w:r>
          </w:p>
        </w:tc>
        <w:tc>
          <w:tcPr>
            <w:tcW w:w="3394" w:type="dxa"/>
            <w:tcBorders>
              <w:tl2br w:val="nil"/>
              <w:tr2bl w:val="nil"/>
            </w:tcBorders>
            <w:shd w:val="clear" w:color="auto" w:fill="auto"/>
            <w:vAlign w:val="center"/>
          </w:tcPr>
          <w:p>
            <w:pPr>
              <w:spacing w:line="240" w:lineRule="auto"/>
              <w:ind w:firstLine="0" w:firstLineChars="0"/>
              <w:jc w:val="center"/>
              <w:rPr>
                <w:rFonts w:hint="eastAsia" w:ascii="宋体" w:hAnsi="宋体" w:eastAsia="宋体" w:cs="宋体"/>
                <w:b/>
              </w:rPr>
            </w:pPr>
            <w:r>
              <w:rPr>
                <w:rFonts w:hint="eastAsia" w:ascii="宋体" w:hAnsi="宋体" w:eastAsia="宋体" w:cs="宋体"/>
                <w:b/>
              </w:rPr>
              <w:t>沟通方式</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7" w:hRule="atLeast"/>
          <w:jc w:val="center"/>
        </w:trPr>
        <w:tc>
          <w:tcPr>
            <w:tcW w:w="1519" w:type="dxa"/>
            <w:tcBorders>
              <w:tl2br w:val="nil"/>
              <w:tr2bl w:val="nil"/>
            </w:tcBorders>
            <w:vAlign w:val="center"/>
          </w:tcPr>
          <w:p>
            <w:pPr>
              <w:pStyle w:val="33"/>
              <w:jc w:val="center"/>
              <w:rPr>
                <w:rFonts w:hint="eastAsia" w:ascii="宋体" w:hAnsi="宋体" w:eastAsia="宋体" w:cs="宋体"/>
              </w:rPr>
            </w:pPr>
            <w:r>
              <w:rPr>
                <w:rFonts w:hint="eastAsia" w:ascii="宋体" w:hAnsi="宋体" w:eastAsia="宋体" w:cs="宋体"/>
              </w:rPr>
              <w:t>政府</w:t>
            </w:r>
          </w:p>
        </w:tc>
        <w:tc>
          <w:tcPr>
            <w:tcW w:w="3402" w:type="dxa"/>
            <w:tcBorders>
              <w:tl2br w:val="nil"/>
              <w:tr2bl w:val="nil"/>
            </w:tcBorders>
            <w:vAlign w:val="center"/>
          </w:tcPr>
          <w:p>
            <w:pPr>
              <w:pStyle w:val="33"/>
              <w:jc w:val="left"/>
              <w:rPr>
                <w:rFonts w:hint="eastAsia" w:ascii="宋体" w:hAnsi="宋体" w:eastAsia="宋体" w:cs="宋体"/>
              </w:rPr>
            </w:pPr>
            <w:r>
              <w:rPr>
                <w:rFonts w:hint="eastAsia" w:ascii="宋体" w:hAnsi="宋体" w:eastAsia="宋体" w:cs="宋体"/>
              </w:rPr>
              <w:t>依法合规运营；</w:t>
            </w:r>
          </w:p>
          <w:p>
            <w:pPr>
              <w:pStyle w:val="33"/>
              <w:jc w:val="left"/>
              <w:rPr>
                <w:rFonts w:hint="eastAsia" w:ascii="宋体" w:hAnsi="宋体" w:eastAsia="宋体" w:cs="宋体"/>
              </w:rPr>
            </w:pPr>
            <w:r>
              <w:rPr>
                <w:rFonts w:hint="eastAsia" w:ascii="宋体" w:hAnsi="宋体" w:eastAsia="宋体" w:cs="宋体"/>
              </w:rPr>
              <w:t>遵守商业道德；</w:t>
            </w:r>
          </w:p>
          <w:p>
            <w:pPr>
              <w:pStyle w:val="33"/>
              <w:jc w:val="left"/>
              <w:rPr>
                <w:rFonts w:hint="eastAsia" w:ascii="宋体" w:hAnsi="宋体" w:eastAsia="宋体" w:cs="宋体"/>
              </w:rPr>
            </w:pPr>
            <w:r>
              <w:rPr>
                <w:rFonts w:hint="eastAsia" w:ascii="宋体" w:hAnsi="宋体" w:eastAsia="宋体" w:cs="宋体"/>
              </w:rPr>
              <w:t>保障安全生产平稳运营；</w:t>
            </w:r>
          </w:p>
          <w:p>
            <w:pPr>
              <w:pStyle w:val="33"/>
              <w:jc w:val="left"/>
              <w:rPr>
                <w:rFonts w:hint="eastAsia" w:ascii="宋体" w:hAnsi="宋体" w:eastAsia="宋体" w:cs="宋体"/>
              </w:rPr>
            </w:pPr>
            <w:r>
              <w:rPr>
                <w:rFonts w:hint="eastAsia" w:ascii="宋体" w:hAnsi="宋体" w:eastAsia="宋体" w:cs="宋体"/>
              </w:rPr>
              <w:t>积极带动就业</w:t>
            </w:r>
          </w:p>
        </w:tc>
        <w:tc>
          <w:tcPr>
            <w:tcW w:w="3394" w:type="dxa"/>
            <w:tcBorders>
              <w:tl2br w:val="nil"/>
              <w:tr2bl w:val="nil"/>
            </w:tcBorders>
            <w:vAlign w:val="center"/>
          </w:tcPr>
          <w:p>
            <w:pPr>
              <w:pStyle w:val="33"/>
              <w:jc w:val="left"/>
              <w:rPr>
                <w:rFonts w:hint="eastAsia" w:ascii="宋体" w:hAnsi="宋体" w:eastAsia="宋体" w:cs="宋体"/>
              </w:rPr>
            </w:pPr>
            <w:r>
              <w:rPr>
                <w:rFonts w:hint="eastAsia" w:ascii="宋体" w:hAnsi="宋体" w:eastAsia="宋体" w:cs="宋体"/>
              </w:rPr>
              <w:t>遵守各项法律法规、依法纳税；</w:t>
            </w:r>
          </w:p>
          <w:p>
            <w:pPr>
              <w:pStyle w:val="33"/>
              <w:jc w:val="left"/>
              <w:rPr>
                <w:rFonts w:hint="eastAsia" w:ascii="宋体" w:hAnsi="宋体" w:eastAsia="宋体" w:cs="宋体"/>
              </w:rPr>
            </w:pPr>
            <w:r>
              <w:rPr>
                <w:rFonts w:hint="eastAsia" w:ascii="宋体" w:hAnsi="宋体" w:eastAsia="宋体" w:cs="宋体"/>
              </w:rPr>
              <w:t>配合开展社会治理工作；</w:t>
            </w:r>
          </w:p>
          <w:p>
            <w:pPr>
              <w:pStyle w:val="33"/>
              <w:jc w:val="left"/>
              <w:rPr>
                <w:rFonts w:hint="eastAsia" w:ascii="宋体" w:hAnsi="宋体" w:eastAsia="宋体" w:cs="宋体"/>
              </w:rPr>
            </w:pPr>
            <w:r>
              <w:rPr>
                <w:rFonts w:hint="eastAsia" w:ascii="宋体" w:hAnsi="宋体" w:eastAsia="宋体" w:cs="宋体"/>
              </w:rPr>
              <w:t>强化安全生产管理；</w:t>
            </w:r>
          </w:p>
          <w:p>
            <w:pPr>
              <w:pStyle w:val="33"/>
              <w:jc w:val="left"/>
              <w:rPr>
                <w:rFonts w:hint="eastAsia" w:ascii="宋体" w:hAnsi="宋体" w:eastAsia="宋体" w:cs="宋体"/>
              </w:rPr>
            </w:pPr>
            <w:r>
              <w:rPr>
                <w:rFonts w:hint="eastAsia" w:ascii="宋体" w:hAnsi="宋体" w:eastAsia="宋体" w:cs="宋体"/>
              </w:rPr>
              <w:t>积极创造就业机会</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1519" w:type="dxa"/>
            <w:tcBorders>
              <w:tl2br w:val="nil"/>
              <w:tr2bl w:val="nil"/>
            </w:tcBorders>
            <w:vAlign w:val="center"/>
          </w:tcPr>
          <w:p>
            <w:pPr>
              <w:pStyle w:val="33"/>
              <w:jc w:val="center"/>
              <w:rPr>
                <w:rFonts w:hint="eastAsia" w:ascii="宋体" w:hAnsi="宋体" w:eastAsia="宋体" w:cs="宋体"/>
              </w:rPr>
            </w:pPr>
            <w:r>
              <w:rPr>
                <w:rFonts w:hint="eastAsia" w:ascii="宋体" w:hAnsi="宋体" w:eastAsia="宋体" w:cs="宋体"/>
              </w:rPr>
              <w:t>员工</w:t>
            </w:r>
          </w:p>
        </w:tc>
        <w:tc>
          <w:tcPr>
            <w:tcW w:w="3402" w:type="dxa"/>
            <w:tcBorders>
              <w:tl2br w:val="nil"/>
              <w:tr2bl w:val="nil"/>
            </w:tcBorders>
            <w:vAlign w:val="center"/>
          </w:tcPr>
          <w:p>
            <w:pPr>
              <w:pStyle w:val="33"/>
              <w:jc w:val="left"/>
              <w:rPr>
                <w:rFonts w:hint="eastAsia" w:ascii="宋体" w:hAnsi="宋体" w:eastAsia="宋体" w:cs="宋体"/>
              </w:rPr>
            </w:pPr>
            <w:r>
              <w:rPr>
                <w:rFonts w:hint="eastAsia" w:ascii="宋体" w:hAnsi="宋体" w:eastAsia="宋体" w:cs="宋体"/>
              </w:rPr>
              <w:t>保障合法权益；</w:t>
            </w:r>
          </w:p>
          <w:p>
            <w:pPr>
              <w:pStyle w:val="33"/>
              <w:jc w:val="left"/>
              <w:rPr>
                <w:rFonts w:hint="eastAsia" w:ascii="宋体" w:hAnsi="宋体" w:eastAsia="宋体" w:cs="宋体"/>
              </w:rPr>
            </w:pPr>
            <w:r>
              <w:rPr>
                <w:rFonts w:hint="eastAsia" w:ascii="宋体" w:hAnsi="宋体" w:eastAsia="宋体" w:cs="宋体"/>
              </w:rPr>
              <w:t>提供职业健康安全保障；</w:t>
            </w:r>
          </w:p>
          <w:p>
            <w:pPr>
              <w:pStyle w:val="33"/>
              <w:jc w:val="left"/>
              <w:rPr>
                <w:rFonts w:hint="eastAsia" w:ascii="宋体" w:hAnsi="宋体" w:eastAsia="宋体" w:cs="宋体"/>
              </w:rPr>
            </w:pPr>
            <w:r>
              <w:rPr>
                <w:rFonts w:hint="eastAsia" w:ascii="宋体" w:hAnsi="宋体" w:eastAsia="宋体" w:cs="宋体"/>
              </w:rPr>
              <w:t>提供职业发展与晋升通道；</w:t>
            </w:r>
          </w:p>
          <w:p>
            <w:pPr>
              <w:pStyle w:val="33"/>
              <w:jc w:val="left"/>
              <w:rPr>
                <w:rFonts w:hint="eastAsia" w:ascii="宋体" w:hAnsi="宋体" w:eastAsia="宋体" w:cs="宋体"/>
              </w:rPr>
            </w:pPr>
            <w:r>
              <w:rPr>
                <w:rFonts w:hint="eastAsia" w:ascii="宋体" w:hAnsi="宋体" w:eastAsia="宋体" w:cs="宋体"/>
              </w:rPr>
              <w:t>舒适的工休环境</w:t>
            </w:r>
          </w:p>
        </w:tc>
        <w:tc>
          <w:tcPr>
            <w:tcW w:w="3394" w:type="dxa"/>
            <w:tcBorders>
              <w:tl2br w:val="nil"/>
              <w:tr2bl w:val="nil"/>
            </w:tcBorders>
            <w:vAlign w:val="center"/>
          </w:tcPr>
          <w:p>
            <w:pPr>
              <w:pStyle w:val="33"/>
              <w:jc w:val="left"/>
              <w:rPr>
                <w:rFonts w:hint="eastAsia" w:ascii="宋体" w:hAnsi="宋体" w:eastAsia="宋体" w:cs="宋体"/>
              </w:rPr>
            </w:pPr>
            <w:r>
              <w:rPr>
                <w:rFonts w:hint="eastAsia" w:ascii="宋体" w:hAnsi="宋体" w:eastAsia="宋体" w:cs="宋体"/>
              </w:rPr>
              <w:t>符合各项国家相关法规；</w:t>
            </w:r>
          </w:p>
          <w:p>
            <w:pPr>
              <w:pStyle w:val="33"/>
              <w:jc w:val="left"/>
              <w:rPr>
                <w:rFonts w:hint="eastAsia" w:ascii="宋体" w:hAnsi="宋体" w:eastAsia="宋体" w:cs="宋体"/>
              </w:rPr>
            </w:pPr>
            <w:r>
              <w:rPr>
                <w:rFonts w:hint="eastAsia" w:ascii="宋体" w:hAnsi="宋体" w:eastAsia="宋体" w:cs="宋体"/>
              </w:rPr>
              <w:t>提供健康安全的工作环境及应知应会培训；</w:t>
            </w:r>
          </w:p>
          <w:p>
            <w:pPr>
              <w:pStyle w:val="33"/>
              <w:jc w:val="left"/>
              <w:rPr>
                <w:rFonts w:hint="eastAsia" w:ascii="宋体" w:hAnsi="宋体" w:eastAsia="宋体" w:cs="宋体"/>
              </w:rPr>
            </w:pPr>
            <w:r>
              <w:rPr>
                <w:rFonts w:hint="eastAsia" w:ascii="宋体" w:hAnsi="宋体" w:eastAsia="宋体" w:cs="宋体"/>
              </w:rPr>
              <w:t>提供专业化、个性化的职业培训与晋升通道；</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1519" w:type="dxa"/>
            <w:tcBorders>
              <w:tl2br w:val="nil"/>
              <w:tr2bl w:val="nil"/>
            </w:tcBorders>
            <w:vAlign w:val="center"/>
          </w:tcPr>
          <w:p>
            <w:pPr>
              <w:pStyle w:val="33"/>
              <w:jc w:val="center"/>
              <w:rPr>
                <w:rFonts w:hint="eastAsia" w:ascii="宋体" w:hAnsi="宋体" w:eastAsia="宋体" w:cs="宋体"/>
              </w:rPr>
            </w:pPr>
            <w:r>
              <w:rPr>
                <w:rFonts w:hint="eastAsia" w:ascii="宋体" w:hAnsi="宋体" w:eastAsia="宋体" w:cs="宋体"/>
              </w:rPr>
              <w:t>客户</w:t>
            </w:r>
          </w:p>
        </w:tc>
        <w:tc>
          <w:tcPr>
            <w:tcW w:w="3402" w:type="dxa"/>
            <w:tcBorders>
              <w:tl2br w:val="nil"/>
              <w:tr2bl w:val="nil"/>
            </w:tcBorders>
            <w:vAlign w:val="center"/>
          </w:tcPr>
          <w:p>
            <w:pPr>
              <w:pStyle w:val="33"/>
              <w:jc w:val="left"/>
              <w:rPr>
                <w:rFonts w:hint="eastAsia" w:ascii="宋体" w:hAnsi="宋体" w:eastAsia="宋体" w:cs="宋体"/>
              </w:rPr>
            </w:pPr>
            <w:r>
              <w:rPr>
                <w:rFonts w:hint="eastAsia" w:ascii="宋体" w:hAnsi="宋体" w:eastAsia="宋体" w:cs="宋体"/>
              </w:rPr>
              <w:t>诚信经营；</w:t>
            </w:r>
          </w:p>
          <w:p>
            <w:pPr>
              <w:pStyle w:val="33"/>
              <w:jc w:val="left"/>
              <w:rPr>
                <w:rFonts w:hint="eastAsia" w:ascii="宋体" w:hAnsi="宋体" w:eastAsia="宋体" w:cs="宋体"/>
              </w:rPr>
            </w:pPr>
            <w:r>
              <w:rPr>
                <w:rFonts w:hint="eastAsia" w:ascii="宋体" w:hAnsi="宋体" w:eastAsia="宋体" w:cs="宋体"/>
              </w:rPr>
              <w:t>提供质量可靠的产品；</w:t>
            </w:r>
          </w:p>
          <w:p>
            <w:pPr>
              <w:pStyle w:val="33"/>
              <w:jc w:val="left"/>
              <w:rPr>
                <w:rFonts w:hint="eastAsia" w:ascii="宋体" w:hAnsi="宋体" w:eastAsia="宋体" w:cs="宋体"/>
              </w:rPr>
            </w:pPr>
            <w:r>
              <w:rPr>
                <w:rFonts w:hint="eastAsia" w:ascii="宋体" w:hAnsi="宋体" w:eastAsia="宋体" w:cs="宋体"/>
              </w:rPr>
              <w:t>提供优质的服务</w:t>
            </w:r>
          </w:p>
        </w:tc>
        <w:tc>
          <w:tcPr>
            <w:tcW w:w="3394" w:type="dxa"/>
            <w:tcBorders>
              <w:tl2br w:val="nil"/>
              <w:tr2bl w:val="nil"/>
            </w:tcBorders>
            <w:vAlign w:val="center"/>
          </w:tcPr>
          <w:p>
            <w:pPr>
              <w:pStyle w:val="33"/>
              <w:jc w:val="left"/>
              <w:rPr>
                <w:rFonts w:hint="eastAsia" w:ascii="宋体" w:hAnsi="宋体" w:eastAsia="宋体" w:cs="宋体"/>
              </w:rPr>
            </w:pPr>
            <w:r>
              <w:rPr>
                <w:rFonts w:hint="eastAsia" w:ascii="宋体" w:hAnsi="宋体" w:eastAsia="宋体" w:cs="宋体"/>
              </w:rPr>
              <w:t>诚实守信服务客户；</w:t>
            </w:r>
          </w:p>
          <w:p>
            <w:pPr>
              <w:pStyle w:val="33"/>
              <w:jc w:val="left"/>
              <w:rPr>
                <w:rFonts w:hint="eastAsia" w:ascii="宋体" w:hAnsi="宋体" w:eastAsia="宋体" w:cs="宋体"/>
              </w:rPr>
            </w:pPr>
            <w:r>
              <w:rPr>
                <w:rFonts w:hint="eastAsia" w:ascii="宋体" w:hAnsi="宋体" w:eastAsia="宋体" w:cs="宋体"/>
              </w:rPr>
              <w:t>提供满足客户需求与期望的产品和服务；</w:t>
            </w:r>
          </w:p>
          <w:p>
            <w:pPr>
              <w:pStyle w:val="33"/>
              <w:jc w:val="left"/>
              <w:rPr>
                <w:rFonts w:hint="eastAsia" w:ascii="宋体" w:hAnsi="宋体" w:eastAsia="宋体" w:cs="宋体"/>
              </w:rPr>
            </w:pPr>
            <w:r>
              <w:rPr>
                <w:rFonts w:hint="eastAsia" w:ascii="宋体" w:hAnsi="宋体" w:eastAsia="宋体" w:cs="宋体"/>
              </w:rPr>
              <w:t>设立客服专线</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1519" w:type="dxa"/>
            <w:tcBorders>
              <w:tl2br w:val="nil"/>
              <w:tr2bl w:val="nil"/>
            </w:tcBorders>
            <w:vAlign w:val="center"/>
          </w:tcPr>
          <w:p>
            <w:pPr>
              <w:pStyle w:val="33"/>
              <w:jc w:val="center"/>
              <w:rPr>
                <w:rFonts w:hint="eastAsia" w:ascii="宋体" w:hAnsi="宋体" w:eastAsia="宋体" w:cs="宋体"/>
              </w:rPr>
            </w:pPr>
            <w:r>
              <w:rPr>
                <w:rFonts w:hint="eastAsia" w:ascii="宋体" w:hAnsi="宋体" w:eastAsia="宋体" w:cs="宋体"/>
              </w:rPr>
              <w:t>合作伙伴</w:t>
            </w:r>
          </w:p>
        </w:tc>
        <w:tc>
          <w:tcPr>
            <w:tcW w:w="3402" w:type="dxa"/>
            <w:tcBorders>
              <w:tl2br w:val="nil"/>
              <w:tr2bl w:val="nil"/>
            </w:tcBorders>
            <w:vAlign w:val="center"/>
          </w:tcPr>
          <w:p>
            <w:pPr>
              <w:pStyle w:val="33"/>
              <w:jc w:val="left"/>
              <w:rPr>
                <w:rFonts w:hint="eastAsia" w:ascii="宋体" w:hAnsi="宋体" w:eastAsia="宋体" w:cs="宋体"/>
              </w:rPr>
            </w:pPr>
            <w:r>
              <w:rPr>
                <w:rFonts w:hint="eastAsia" w:ascii="宋体" w:hAnsi="宋体" w:eastAsia="宋体" w:cs="宋体"/>
              </w:rPr>
              <w:t>遵守商业道德；公平竞争；</w:t>
            </w:r>
          </w:p>
          <w:p>
            <w:pPr>
              <w:pStyle w:val="33"/>
              <w:jc w:val="left"/>
              <w:rPr>
                <w:rFonts w:hint="eastAsia" w:ascii="宋体" w:hAnsi="宋体" w:eastAsia="宋体" w:cs="宋体"/>
              </w:rPr>
            </w:pPr>
            <w:r>
              <w:rPr>
                <w:rFonts w:hint="eastAsia" w:ascii="宋体" w:hAnsi="宋体" w:eastAsia="宋体" w:cs="宋体"/>
              </w:rPr>
              <w:t>公平、公正、公开采供；</w:t>
            </w:r>
          </w:p>
          <w:p>
            <w:pPr>
              <w:pStyle w:val="33"/>
              <w:jc w:val="left"/>
              <w:rPr>
                <w:rFonts w:hint="eastAsia" w:ascii="宋体" w:hAnsi="宋体" w:eastAsia="宋体" w:cs="宋体"/>
              </w:rPr>
            </w:pPr>
            <w:r>
              <w:rPr>
                <w:rFonts w:hint="eastAsia" w:ascii="宋体" w:hAnsi="宋体" w:eastAsia="宋体" w:cs="宋体"/>
              </w:rPr>
              <w:t>提供相关辅导与支持</w:t>
            </w:r>
          </w:p>
        </w:tc>
        <w:tc>
          <w:tcPr>
            <w:tcW w:w="3394" w:type="dxa"/>
            <w:tcBorders>
              <w:tl2br w:val="nil"/>
              <w:tr2bl w:val="nil"/>
            </w:tcBorders>
            <w:vAlign w:val="center"/>
          </w:tcPr>
          <w:p>
            <w:pPr>
              <w:pStyle w:val="33"/>
              <w:jc w:val="left"/>
              <w:rPr>
                <w:rFonts w:hint="eastAsia" w:ascii="宋体" w:hAnsi="宋体" w:eastAsia="宋体" w:cs="宋体"/>
              </w:rPr>
            </w:pPr>
            <w:r>
              <w:rPr>
                <w:rFonts w:hint="eastAsia" w:ascii="宋体" w:hAnsi="宋体" w:eastAsia="宋体" w:cs="宋体"/>
              </w:rPr>
              <w:t>开展负责人的采购工作；</w:t>
            </w:r>
          </w:p>
          <w:p>
            <w:pPr>
              <w:pStyle w:val="33"/>
              <w:jc w:val="left"/>
              <w:rPr>
                <w:rFonts w:hint="eastAsia" w:ascii="宋体" w:hAnsi="宋体" w:eastAsia="宋体" w:cs="宋体"/>
              </w:rPr>
            </w:pPr>
            <w:r>
              <w:rPr>
                <w:rFonts w:hint="eastAsia" w:ascii="宋体" w:hAnsi="宋体" w:eastAsia="宋体" w:cs="宋体"/>
              </w:rPr>
              <w:t>开展供应链合作</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1519" w:type="dxa"/>
            <w:tcBorders>
              <w:tl2br w:val="nil"/>
              <w:tr2bl w:val="nil"/>
            </w:tcBorders>
            <w:vAlign w:val="center"/>
          </w:tcPr>
          <w:p>
            <w:pPr>
              <w:pStyle w:val="33"/>
              <w:jc w:val="center"/>
              <w:rPr>
                <w:rFonts w:hint="eastAsia" w:ascii="宋体" w:hAnsi="宋体" w:eastAsia="宋体" w:cs="宋体"/>
              </w:rPr>
            </w:pPr>
            <w:r>
              <w:rPr>
                <w:rFonts w:hint="eastAsia" w:ascii="宋体" w:hAnsi="宋体" w:eastAsia="宋体" w:cs="宋体"/>
              </w:rPr>
              <w:t>环境</w:t>
            </w:r>
          </w:p>
        </w:tc>
        <w:tc>
          <w:tcPr>
            <w:tcW w:w="3402" w:type="dxa"/>
            <w:tcBorders>
              <w:tl2br w:val="nil"/>
              <w:tr2bl w:val="nil"/>
            </w:tcBorders>
            <w:vAlign w:val="center"/>
          </w:tcPr>
          <w:p>
            <w:pPr>
              <w:pStyle w:val="33"/>
              <w:jc w:val="left"/>
              <w:rPr>
                <w:rFonts w:hint="eastAsia" w:ascii="宋体" w:hAnsi="宋体" w:eastAsia="宋体" w:cs="宋体"/>
              </w:rPr>
            </w:pPr>
            <w:r>
              <w:rPr>
                <w:rFonts w:hint="eastAsia" w:ascii="宋体" w:hAnsi="宋体" w:eastAsia="宋体" w:cs="宋体"/>
              </w:rPr>
              <w:t>落实国内外节能减排政策、法规；</w:t>
            </w:r>
          </w:p>
          <w:p>
            <w:pPr>
              <w:pStyle w:val="33"/>
              <w:jc w:val="left"/>
              <w:rPr>
                <w:rFonts w:hint="eastAsia" w:ascii="宋体" w:hAnsi="宋体" w:eastAsia="宋体" w:cs="宋体"/>
              </w:rPr>
            </w:pPr>
            <w:r>
              <w:rPr>
                <w:rFonts w:hint="eastAsia" w:ascii="宋体" w:hAnsi="宋体" w:eastAsia="宋体" w:cs="宋体"/>
              </w:rPr>
              <w:t>实现绿色管理与绿色运营；</w:t>
            </w:r>
          </w:p>
          <w:p>
            <w:pPr>
              <w:pStyle w:val="33"/>
              <w:jc w:val="left"/>
              <w:rPr>
                <w:rFonts w:hint="eastAsia" w:ascii="宋体" w:hAnsi="宋体" w:eastAsia="宋体" w:cs="宋体"/>
              </w:rPr>
            </w:pPr>
            <w:r>
              <w:rPr>
                <w:rFonts w:hint="eastAsia" w:ascii="宋体" w:hAnsi="宋体" w:eastAsia="宋体" w:cs="宋体"/>
              </w:rPr>
              <w:t>保护生态环境</w:t>
            </w:r>
          </w:p>
        </w:tc>
        <w:tc>
          <w:tcPr>
            <w:tcW w:w="3394" w:type="dxa"/>
            <w:tcBorders>
              <w:tl2br w:val="nil"/>
              <w:tr2bl w:val="nil"/>
            </w:tcBorders>
            <w:vAlign w:val="center"/>
          </w:tcPr>
          <w:p>
            <w:pPr>
              <w:pStyle w:val="33"/>
              <w:jc w:val="left"/>
              <w:rPr>
                <w:rFonts w:hint="eastAsia" w:ascii="宋体" w:hAnsi="宋体" w:eastAsia="宋体" w:cs="宋体"/>
              </w:rPr>
            </w:pPr>
            <w:r>
              <w:rPr>
                <w:rFonts w:hint="eastAsia" w:ascii="宋体" w:hAnsi="宋体" w:eastAsia="宋体" w:cs="宋体"/>
              </w:rPr>
              <w:t>建立公司绿色管理组织体系；</w:t>
            </w:r>
          </w:p>
          <w:p>
            <w:pPr>
              <w:pStyle w:val="33"/>
              <w:jc w:val="left"/>
              <w:rPr>
                <w:rFonts w:hint="eastAsia" w:ascii="宋体" w:hAnsi="宋体" w:eastAsia="宋体" w:cs="宋体"/>
              </w:rPr>
            </w:pPr>
            <w:r>
              <w:rPr>
                <w:rFonts w:hint="eastAsia" w:ascii="宋体" w:hAnsi="宋体" w:eastAsia="宋体" w:cs="宋体"/>
              </w:rPr>
              <w:t>全面开展节能减排工作；</w:t>
            </w:r>
          </w:p>
          <w:p>
            <w:pPr>
              <w:pStyle w:val="33"/>
              <w:jc w:val="left"/>
              <w:rPr>
                <w:rFonts w:hint="eastAsia" w:ascii="宋体" w:hAnsi="宋体" w:eastAsia="宋体" w:cs="宋体"/>
              </w:rPr>
            </w:pPr>
            <w:r>
              <w:rPr>
                <w:rFonts w:hint="eastAsia" w:ascii="宋体" w:hAnsi="宋体" w:eastAsia="宋体" w:cs="宋体"/>
              </w:rPr>
              <w:t>开展绿色设计、绿色制造、绿色服务工作；</w:t>
            </w:r>
          </w:p>
          <w:p>
            <w:pPr>
              <w:pStyle w:val="33"/>
              <w:jc w:val="left"/>
              <w:rPr>
                <w:rFonts w:hint="eastAsia" w:ascii="宋体" w:hAnsi="宋体" w:eastAsia="宋体" w:cs="宋体"/>
              </w:rPr>
            </w:pPr>
            <w:r>
              <w:rPr>
                <w:rFonts w:hint="eastAsia" w:ascii="宋体" w:hAnsi="宋体" w:eastAsia="宋体" w:cs="宋体"/>
              </w:rPr>
              <w:t>实施绿色办公；实践绿色公益</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7" w:hRule="atLeast"/>
          <w:jc w:val="center"/>
        </w:trPr>
        <w:tc>
          <w:tcPr>
            <w:tcW w:w="1519" w:type="dxa"/>
            <w:tcBorders>
              <w:tl2br w:val="nil"/>
              <w:tr2bl w:val="nil"/>
            </w:tcBorders>
            <w:vAlign w:val="center"/>
          </w:tcPr>
          <w:p>
            <w:pPr>
              <w:pStyle w:val="33"/>
              <w:jc w:val="center"/>
              <w:rPr>
                <w:rFonts w:hint="eastAsia" w:ascii="宋体" w:hAnsi="宋体" w:eastAsia="宋体" w:cs="宋体"/>
              </w:rPr>
            </w:pPr>
            <w:r>
              <w:rPr>
                <w:rFonts w:hint="eastAsia" w:ascii="宋体" w:hAnsi="宋体" w:eastAsia="宋体" w:cs="宋体"/>
              </w:rPr>
              <w:t>社会和公众</w:t>
            </w:r>
          </w:p>
        </w:tc>
        <w:tc>
          <w:tcPr>
            <w:tcW w:w="3402" w:type="dxa"/>
            <w:tcBorders>
              <w:tl2br w:val="nil"/>
              <w:tr2bl w:val="nil"/>
            </w:tcBorders>
            <w:vAlign w:val="center"/>
          </w:tcPr>
          <w:p>
            <w:pPr>
              <w:pStyle w:val="33"/>
              <w:jc w:val="center"/>
              <w:rPr>
                <w:rFonts w:hint="eastAsia" w:ascii="宋体" w:hAnsi="宋体" w:eastAsia="宋体" w:cs="宋体"/>
              </w:rPr>
            </w:pPr>
            <w:r>
              <w:rPr>
                <w:rFonts w:hint="eastAsia" w:ascii="宋体" w:hAnsi="宋体" w:eastAsia="宋体" w:cs="宋体"/>
              </w:rPr>
              <w:t>支持社会公益事业</w:t>
            </w:r>
          </w:p>
        </w:tc>
        <w:tc>
          <w:tcPr>
            <w:tcW w:w="3394" w:type="dxa"/>
            <w:tcBorders>
              <w:tl2br w:val="nil"/>
              <w:tr2bl w:val="nil"/>
            </w:tcBorders>
            <w:vAlign w:val="center"/>
          </w:tcPr>
          <w:p>
            <w:pPr>
              <w:pStyle w:val="33"/>
              <w:jc w:val="center"/>
              <w:rPr>
                <w:rFonts w:hint="eastAsia" w:ascii="宋体" w:hAnsi="宋体" w:eastAsia="宋体" w:cs="宋体"/>
              </w:rPr>
            </w:pPr>
            <w:r>
              <w:rPr>
                <w:rFonts w:hint="eastAsia" w:ascii="宋体" w:hAnsi="宋体" w:eastAsia="宋体" w:cs="宋体"/>
              </w:rPr>
              <w:t>开展志愿者行动；</w:t>
            </w:r>
          </w:p>
          <w:p>
            <w:pPr>
              <w:pStyle w:val="33"/>
              <w:jc w:val="center"/>
              <w:rPr>
                <w:rFonts w:hint="eastAsia" w:ascii="宋体" w:hAnsi="宋体" w:eastAsia="宋体" w:cs="宋体"/>
              </w:rPr>
            </w:pPr>
            <w:r>
              <w:rPr>
                <w:rFonts w:hint="eastAsia" w:ascii="宋体" w:hAnsi="宋体" w:eastAsia="宋体" w:cs="宋体"/>
              </w:rPr>
              <w:t>参与慈善事业，积极投身公益事业</w:t>
            </w:r>
          </w:p>
        </w:tc>
      </w:tr>
      <w:bookmarkEnd w:id="10"/>
    </w:tbl>
    <w:p>
      <w:pPr>
        <w:pStyle w:val="21"/>
        <w:ind w:left="480" w:firstLine="480"/>
        <w:rPr>
          <w:rFonts w:hint="eastAsia" w:ascii="宋体" w:hAnsi="宋体" w:eastAsia="宋体" w:cs="宋体"/>
        </w:rPr>
      </w:pPr>
      <w:bookmarkStart w:id="13" w:name="_Toc524013533"/>
    </w:p>
    <w:p>
      <w:pPr>
        <w:pStyle w:val="3"/>
        <w:jc w:val="center"/>
        <w:rPr>
          <w:rFonts w:hint="eastAsia" w:ascii="宋体" w:hAnsi="宋体" w:eastAsia="宋体" w:cs="宋体"/>
          <w:sz w:val="30"/>
          <w:szCs w:val="30"/>
        </w:rPr>
      </w:pPr>
      <w:bookmarkStart w:id="14" w:name="_Toc25367"/>
      <w:r>
        <w:rPr>
          <w:rFonts w:hint="eastAsia" w:ascii="宋体" w:hAnsi="宋体" w:eastAsia="宋体" w:cs="宋体"/>
          <w:sz w:val="30"/>
          <w:szCs w:val="30"/>
        </w:rPr>
        <w:t>第二章  安全生产</w:t>
      </w:r>
      <w:bookmarkEnd w:id="14"/>
    </w:p>
    <w:p>
      <w:pPr>
        <w:adjustRightInd/>
        <w:snapToGrid/>
        <w:spacing w:line="360" w:lineRule="auto"/>
        <w:ind w:firstLine="480"/>
        <w:rPr>
          <w:rFonts w:hint="eastAsia" w:ascii="宋体" w:hAnsi="宋体" w:eastAsia="宋体" w:cs="宋体"/>
          <w:szCs w:val="24"/>
        </w:rPr>
      </w:pPr>
      <w:r>
        <w:rPr>
          <w:rFonts w:hint="eastAsia" w:ascii="宋体" w:hAnsi="宋体" w:eastAsia="宋体" w:cs="宋体"/>
          <w:szCs w:val="24"/>
        </w:rPr>
        <w:t>安全生产、安全管理是</w:t>
      </w:r>
      <w:r>
        <w:rPr>
          <w:rFonts w:hint="eastAsia" w:ascii="宋体" w:hAnsi="宋体" w:cs="宋体"/>
          <w:szCs w:val="24"/>
          <w:lang w:eastAsia="zh-CN"/>
        </w:rPr>
        <w:t>哥伦</w:t>
      </w:r>
      <w:r>
        <w:rPr>
          <w:rFonts w:hint="eastAsia" w:ascii="宋体" w:hAnsi="宋体" w:eastAsia="宋体" w:cs="宋体"/>
          <w:szCs w:val="24"/>
        </w:rPr>
        <w:t>生存和发展的基础，是</w:t>
      </w:r>
      <w:r>
        <w:rPr>
          <w:rFonts w:hint="eastAsia" w:ascii="宋体" w:hAnsi="宋体" w:cs="宋体"/>
          <w:szCs w:val="24"/>
          <w:lang w:eastAsia="zh-CN"/>
        </w:rPr>
        <w:t>哥伦</w:t>
      </w:r>
      <w:r>
        <w:rPr>
          <w:rFonts w:hint="eastAsia" w:ascii="宋体" w:hAnsi="宋体" w:eastAsia="宋体" w:cs="宋体"/>
          <w:szCs w:val="24"/>
        </w:rPr>
        <w:t>首要的社会责任，给员工创造舒适安全的工作环境也是利益相关方最为关注的议题。对于安全，</w:t>
      </w:r>
      <w:r>
        <w:rPr>
          <w:rFonts w:hint="eastAsia" w:ascii="宋体" w:hAnsi="宋体" w:cs="宋体"/>
          <w:szCs w:val="24"/>
          <w:lang w:eastAsia="zh-CN"/>
        </w:rPr>
        <w:t>哥伦</w:t>
      </w:r>
      <w:r>
        <w:rPr>
          <w:rFonts w:hint="eastAsia" w:ascii="宋体" w:hAnsi="宋体" w:eastAsia="宋体" w:cs="宋体"/>
          <w:szCs w:val="24"/>
        </w:rPr>
        <w:t xml:space="preserve">始终保持“如履薄冰” 的心态，严守“预防为主、安全第一、以人为本、全员参与、持续改进、员工安康”工作理念。坚持“安全永无止境，每天从零开始”原则，将安全观传递至员工及利益相关方，以实现“零事故”的安全目标。 </w:t>
      </w:r>
    </w:p>
    <w:p>
      <w:pPr>
        <w:pStyle w:val="3"/>
        <w:adjustRightInd/>
        <w:snapToGrid/>
        <w:spacing w:before="260" w:after="0" w:line="360" w:lineRule="auto"/>
        <w:outlineLvl w:val="1"/>
        <w:rPr>
          <w:rFonts w:hint="eastAsia" w:ascii="宋体" w:hAnsi="宋体" w:eastAsia="宋体" w:cs="宋体"/>
        </w:rPr>
      </w:pPr>
      <w:bookmarkStart w:id="15" w:name="_Toc32221"/>
      <w:r>
        <w:rPr>
          <w:rFonts w:hint="eastAsia" w:ascii="宋体" w:hAnsi="宋体" w:eastAsia="宋体" w:cs="宋体"/>
        </w:rPr>
        <w:t>一、组织体系</w:t>
      </w:r>
      <w:bookmarkEnd w:id="15"/>
      <w:r>
        <w:rPr>
          <w:rFonts w:hint="eastAsia" w:ascii="宋体" w:hAnsi="宋体" w:eastAsia="宋体" w:cs="宋体"/>
        </w:rPr>
        <w:t xml:space="preserve"> </w:t>
      </w:r>
    </w:p>
    <w:p>
      <w:pPr>
        <w:adjustRightInd/>
        <w:snapToGrid/>
        <w:spacing w:line="360" w:lineRule="auto"/>
        <w:ind w:firstLine="480"/>
        <w:rPr>
          <w:rFonts w:hint="eastAsia" w:ascii="宋体" w:hAnsi="宋体" w:eastAsia="宋体" w:cs="宋体"/>
          <w:color w:val="000000"/>
          <w:szCs w:val="24"/>
        </w:rPr>
      </w:pPr>
      <w:r>
        <w:rPr>
          <w:rFonts w:hint="eastAsia" w:ascii="宋体" w:hAnsi="宋体" w:cs="宋体"/>
          <w:color w:val="000000"/>
          <w:szCs w:val="24"/>
          <w:lang w:eastAsia="zh-CN"/>
        </w:rPr>
        <w:t>哥伦</w:t>
      </w:r>
      <w:r>
        <w:rPr>
          <w:rFonts w:hint="eastAsia" w:ascii="宋体" w:hAnsi="宋体" w:eastAsia="宋体" w:cs="宋体"/>
          <w:color w:val="000000"/>
          <w:szCs w:val="24"/>
        </w:rPr>
        <w:t xml:space="preserve">已建立较为完善的安全管理体系，覆盖了生产、业务和管理等各领域。环安科是安全管理和安全监察的职能部门，安全管理的责任主体是各厂区（部门）的负责人，员工为本岗位安全直接责任人。 </w:t>
      </w:r>
    </w:p>
    <w:p>
      <w:pPr>
        <w:adjustRightInd/>
        <w:snapToGrid/>
        <w:spacing w:before="260" w:line="360" w:lineRule="auto"/>
        <w:ind w:firstLine="0" w:firstLineChars="0"/>
        <w:outlineLvl w:val="1"/>
        <w:rPr>
          <w:rFonts w:hint="eastAsia" w:ascii="宋体" w:hAnsi="宋体" w:eastAsia="宋体" w:cs="宋体"/>
          <w:b/>
          <w:bCs/>
          <w:kern w:val="44"/>
          <w:szCs w:val="44"/>
        </w:rPr>
      </w:pPr>
      <w:bookmarkStart w:id="16" w:name="_Toc16277"/>
      <w:r>
        <w:rPr>
          <w:rFonts w:hint="eastAsia" w:ascii="宋体" w:hAnsi="宋体" w:eastAsia="宋体" w:cs="宋体"/>
          <w:b/>
          <w:bCs/>
          <w:kern w:val="44"/>
          <w:szCs w:val="44"/>
        </w:rPr>
        <w:t>二、安全、健康因素的识别和措施</w:t>
      </w:r>
      <w:bookmarkEnd w:id="16"/>
      <w:r>
        <w:rPr>
          <w:rFonts w:hint="eastAsia" w:ascii="宋体" w:hAnsi="宋体" w:eastAsia="宋体" w:cs="宋体"/>
          <w:b/>
          <w:bCs/>
          <w:kern w:val="44"/>
          <w:szCs w:val="44"/>
        </w:rPr>
        <w:t xml:space="preserve">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为确保环境和职业健康安全，专项制定了《环境因素、危险源识别、评价和更新程序》，目前对我公司所有的危险化学物品，制作《MSDS安全周知卡》并张贴在现场。在危险因素辨识与风险评价中，识别出生产过程、日常办公、消防活动的危险因素，按事故或危险事件发生的可能性、暴露于危险环境的频率、事故可能发生的后果以及风险等级划分进行辨识和控制。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此外，制定了一系列安全生产管理标准，从制度上保证安全生产。如《安全生产责任制》、《安全投入保障制度》、《安全教育制度》、《消防安全管理》、《危险作业安全管理制度》、《安全生产奖惩制度》等，切实做到安全工作有章可循。 </w:t>
      </w:r>
    </w:p>
    <w:p>
      <w:pPr>
        <w:adjustRightInd/>
        <w:snapToGrid/>
        <w:spacing w:line="360" w:lineRule="auto"/>
        <w:ind w:firstLine="480"/>
        <w:rPr>
          <w:rFonts w:hint="eastAsia" w:ascii="宋体" w:hAnsi="宋体" w:eastAsia="宋体" w:cs="宋体"/>
          <w:color w:val="000000"/>
          <w:szCs w:val="24"/>
        </w:rPr>
      </w:pPr>
      <w:r>
        <w:rPr>
          <w:rFonts w:hint="eastAsia" w:ascii="宋体" w:hAnsi="宋体" w:cs="宋体"/>
          <w:color w:val="000000"/>
          <w:szCs w:val="24"/>
          <w:lang w:eastAsia="zh-CN"/>
        </w:rPr>
        <w:t>哥伦</w:t>
      </w:r>
      <w:r>
        <w:rPr>
          <w:rFonts w:hint="eastAsia" w:ascii="宋体" w:hAnsi="宋体" w:eastAsia="宋体" w:cs="宋体"/>
          <w:color w:val="000000"/>
          <w:szCs w:val="24"/>
        </w:rPr>
        <w:t xml:space="preserve">还非常注重保安队伍素质建设，配置各种防卫器材，定期召开安保会议，对安保队伍进行军事队列训练，强化安保的纪律意识，树立良好的安保形象使其真正做到“令行禁止”为确保厂区安全稳定起到了不可估量的作用。 </w:t>
      </w:r>
    </w:p>
    <w:p>
      <w:pPr>
        <w:adjustRightInd/>
        <w:snapToGrid/>
        <w:spacing w:before="260" w:line="360" w:lineRule="auto"/>
        <w:ind w:firstLine="0" w:firstLineChars="0"/>
        <w:outlineLvl w:val="1"/>
        <w:rPr>
          <w:rFonts w:hint="eastAsia" w:ascii="宋体" w:hAnsi="宋体" w:eastAsia="宋体" w:cs="宋体"/>
          <w:b/>
          <w:bCs/>
          <w:kern w:val="44"/>
          <w:szCs w:val="44"/>
        </w:rPr>
      </w:pPr>
      <w:bookmarkStart w:id="17" w:name="_Toc12351"/>
      <w:r>
        <w:rPr>
          <w:rFonts w:hint="eastAsia" w:ascii="宋体" w:hAnsi="宋体" w:eastAsia="宋体" w:cs="宋体"/>
          <w:b/>
          <w:bCs/>
          <w:kern w:val="44"/>
          <w:szCs w:val="44"/>
        </w:rPr>
        <w:t>三、安全责任落实</w:t>
      </w:r>
      <w:bookmarkEnd w:id="17"/>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实行安全生产责任制：年初签订安全生产责任书，从公司与各部门、车间、班组签订安全生产责任制，真正做到了责任到部门、责任到岗位、责任到人，落实各部门安全生产责任，制定各部门、车间及班组安全生产标准，明确奖惩措施。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建立安全台账管理：加强安全管理基础工作，切实做到各级安全责任制落实和可追溯性；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三级安全教育培训：对新招收的员工进行公司级、车间级和班组级安全培训，切实落实三级安全教育培训。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施工安全管理：切实落实外来施工安全管理，和施工方签署《施工安全协议》，明确双方安全职责。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安全月活动：（1）开展“排除隐患大行动”活动；（2）员工安全生产教育；组织观看安全生产、消防安全事故案例电影；（3）举办火灾事故应急逃生演练。 </w:t>
      </w:r>
    </w:p>
    <w:p>
      <w:pPr>
        <w:adjustRightInd/>
        <w:snapToGrid/>
        <w:spacing w:line="360" w:lineRule="auto"/>
        <w:ind w:firstLine="480"/>
        <w:rPr>
          <w:rFonts w:hint="eastAsia" w:ascii="宋体" w:hAnsi="宋体" w:eastAsia="宋体" w:cs="宋体"/>
          <w:color w:val="000000"/>
          <w:szCs w:val="24"/>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21"/>
        <w:ind w:left="480" w:firstLine="480"/>
        <w:rPr>
          <w:rFonts w:hint="eastAsia" w:ascii="宋体" w:hAnsi="宋体" w:eastAsia="宋体" w:cs="宋体"/>
          <w:color w:val="000000"/>
        </w:rPr>
      </w:pPr>
    </w:p>
    <w:p>
      <w:pPr>
        <w:pStyle w:val="3"/>
        <w:numPr>
          <w:ilvl w:val="0"/>
          <w:numId w:val="3"/>
        </w:numPr>
        <w:jc w:val="center"/>
        <w:rPr>
          <w:rFonts w:hint="eastAsia" w:ascii="宋体" w:hAnsi="宋体" w:eastAsia="宋体" w:cs="宋体"/>
          <w:sz w:val="30"/>
          <w:szCs w:val="30"/>
        </w:rPr>
      </w:pPr>
      <w:r>
        <w:rPr>
          <w:rFonts w:hint="eastAsia" w:ascii="宋体" w:hAnsi="宋体" w:eastAsia="宋体" w:cs="宋体"/>
          <w:sz w:val="30"/>
          <w:szCs w:val="30"/>
        </w:rPr>
        <w:t xml:space="preserve">  </w:t>
      </w:r>
      <w:bookmarkStart w:id="18" w:name="_Toc14590"/>
      <w:r>
        <w:rPr>
          <w:rFonts w:hint="eastAsia" w:ascii="宋体" w:hAnsi="宋体" w:eastAsia="宋体" w:cs="宋体"/>
          <w:sz w:val="30"/>
          <w:szCs w:val="30"/>
        </w:rPr>
        <w:t>聚焦环境，创造绿色</w:t>
      </w:r>
      <w:bookmarkEnd w:id="18"/>
      <w:r>
        <w:rPr>
          <w:rFonts w:hint="eastAsia" w:ascii="宋体" w:hAnsi="宋体" w:eastAsia="宋体" w:cs="宋体"/>
          <w:sz w:val="30"/>
          <w:szCs w:val="30"/>
          <w:lang w:eastAsia="zh-CN"/>
        </w:rPr>
        <w:t>哥伦</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环境保护，关系到人类未来和发展。</w:t>
      </w:r>
      <w:r>
        <w:rPr>
          <w:rFonts w:hint="eastAsia" w:ascii="宋体" w:hAnsi="宋体" w:cs="宋体"/>
          <w:lang w:eastAsia="zh-CN"/>
        </w:rPr>
        <w:t>哥伦</w:t>
      </w:r>
      <w:r>
        <w:rPr>
          <w:rFonts w:hint="eastAsia" w:ascii="宋体" w:hAnsi="宋体" w:eastAsia="宋体" w:cs="宋体"/>
        </w:rPr>
        <w:t>始终坚持节能减排的生产目标，将履行环境责任的理念贯穿于管理层和全体员工。</w:t>
      </w:r>
    </w:p>
    <w:p>
      <w:pPr>
        <w:adjustRightInd/>
        <w:snapToGrid/>
        <w:spacing w:before="260" w:line="360" w:lineRule="auto"/>
        <w:ind w:firstLine="0" w:firstLineChars="0"/>
        <w:outlineLvl w:val="1"/>
        <w:rPr>
          <w:rFonts w:hint="eastAsia" w:ascii="宋体" w:hAnsi="宋体" w:eastAsia="宋体" w:cs="宋体"/>
          <w:b/>
          <w:bCs/>
          <w:kern w:val="44"/>
          <w:szCs w:val="44"/>
        </w:rPr>
      </w:pPr>
      <w:bookmarkStart w:id="19" w:name="_Toc23038"/>
      <w:r>
        <w:rPr>
          <w:rFonts w:hint="eastAsia" w:ascii="宋体" w:hAnsi="宋体" w:eastAsia="宋体" w:cs="宋体"/>
          <w:b/>
          <w:bCs/>
          <w:kern w:val="44"/>
          <w:szCs w:val="44"/>
        </w:rPr>
        <w:t>一、环保理念</w:t>
      </w:r>
      <w:bookmarkEnd w:id="19"/>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“绿水青山就是金山银山”，为促进与环境协调发展，做好企业环境保护工作，履行环保义务，</w:t>
      </w:r>
      <w:r>
        <w:rPr>
          <w:rFonts w:hint="eastAsia" w:ascii="宋体" w:hAnsi="宋体" w:cs="宋体"/>
          <w:lang w:eastAsia="zh-CN"/>
        </w:rPr>
        <w:t>哥伦</w:t>
      </w:r>
      <w:r>
        <w:rPr>
          <w:rFonts w:hint="eastAsia" w:ascii="宋体" w:hAnsi="宋体" w:eastAsia="宋体" w:cs="宋体"/>
        </w:rPr>
        <w:t>有严格执行中国政府节能减排综合治理的各项政策，主动采取措施提高能源利用效率，减少温室气体排放，以实际行动为保护环境、促进生态平衡、实现人类可持续发展贡献力量。</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具体措施如下：</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 xml:space="preserve">1、成立环保管理小组，促进和管理一切环保减排的目标和政策。 </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 xml:space="preserve">2、生产运作时，对环境的伤害和风险减至最低。 </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 xml:space="preserve">3、在主要的环节中减少对能源、原料、水等的消耗。 </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 xml:space="preserve">4、确定遵守所有相关的法律要求。 </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 xml:space="preserve">5、提供给客户和第三方的环保和减碳排放的信心。 </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 xml:space="preserve">6、提高所有员工对环保和减排的学习重视。 </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 xml:space="preserve">7、最大化有效地使用所有资源。 </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 xml:space="preserve">8、建立一个良好的、有责任的环保形象企业。 </w:t>
      </w:r>
    </w:p>
    <w:p>
      <w:pPr>
        <w:adjustRightInd/>
        <w:snapToGrid/>
        <w:spacing w:before="260" w:line="360" w:lineRule="auto"/>
        <w:ind w:firstLine="0" w:firstLineChars="0"/>
        <w:outlineLvl w:val="1"/>
        <w:rPr>
          <w:rFonts w:hint="eastAsia" w:ascii="宋体" w:hAnsi="宋体" w:eastAsia="宋体" w:cs="宋体"/>
          <w:b/>
          <w:bCs/>
          <w:kern w:val="44"/>
          <w:szCs w:val="44"/>
        </w:rPr>
      </w:pPr>
      <w:bookmarkStart w:id="20" w:name="_Toc8953"/>
      <w:r>
        <w:rPr>
          <w:rFonts w:hint="eastAsia" w:ascii="宋体" w:hAnsi="宋体" w:eastAsia="宋体" w:cs="宋体"/>
          <w:b/>
          <w:bCs/>
          <w:kern w:val="44"/>
          <w:szCs w:val="44"/>
        </w:rPr>
        <w:t>二、绿色改造大行动</w:t>
      </w:r>
      <w:bookmarkEnd w:id="20"/>
    </w:p>
    <w:p>
      <w:pPr>
        <w:widowControl w:val="0"/>
        <w:shd w:val="clear"/>
        <w:adjustRightInd/>
        <w:snapToGrid/>
        <w:spacing w:line="360" w:lineRule="auto"/>
        <w:ind w:firstLine="480"/>
        <w:rPr>
          <w:rFonts w:hint="eastAsia" w:ascii="宋体" w:hAnsi="宋体" w:eastAsia="宋体" w:cs="宋体"/>
        </w:rPr>
      </w:pPr>
      <w:r>
        <w:rPr>
          <w:rFonts w:hint="eastAsia" w:ascii="宋体" w:hAnsi="宋体" w:eastAsia="宋体" w:cs="宋体"/>
        </w:rPr>
        <w:t>公司贯彻国家《环境保护法》、《安全生产法》、《职业病防治法》等相关法律法规，根据环境、职业健康安全管理体系的要求，以危险、有害因素和环境因素识别评价为基础，注重科学性、规范性和系统性，制定了目标指标及管理方案、管理标准、应急预案以及绩效评估与改进等管理体系，把安全、环保、职业健康以及其他方面的管理有机地结合起来，形成系统的长效管理机制，有效控制产品安全、环境影响和职业健康安全风险。公司从建设立项到正式生产运行，严格遵守环境保护“三同时”，全面考虑“三废”排放问题，建设和配备完善的污水处理、废气排放、噪声治理等设施。</w:t>
      </w:r>
    </w:p>
    <w:p>
      <w:pPr>
        <w:pStyle w:val="49"/>
        <w:spacing w:before="156"/>
        <w:ind w:firstLine="480"/>
        <w:rPr>
          <w:rFonts w:hint="eastAsia" w:ascii="宋体" w:hAnsi="宋体" w:eastAsia="宋体" w:cs="宋体"/>
        </w:rPr>
      </w:pPr>
      <w:r>
        <w:rPr>
          <w:rFonts w:hint="eastAsia" w:ascii="宋体" w:hAnsi="宋体" w:eastAsia="宋体" w:cs="宋体"/>
        </w:rPr>
        <w:t>经有关部门监测，公司污染物的排放指标均达到相应环境保护标准。</w:t>
      </w:r>
    </w:p>
    <w:p>
      <w:pPr>
        <w:pStyle w:val="56"/>
        <w:rPr>
          <w:rFonts w:hint="eastAsia" w:ascii="宋体" w:hAnsi="宋体" w:eastAsia="宋体" w:cs="宋体"/>
        </w:rPr>
      </w:pPr>
      <w:r>
        <w:rPr>
          <w:rFonts w:hint="eastAsia" w:ascii="宋体" w:hAnsi="宋体" w:eastAsia="宋体" w:cs="宋体"/>
        </w:rPr>
        <w:t>公共责任方面的控制和改进措施</w:t>
      </w:r>
    </w:p>
    <w:tbl>
      <w:tblPr>
        <w:tblStyle w:val="22"/>
        <w:tblW w:w="817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34"/>
        <w:gridCol w:w="5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blHeader/>
          <w:jc w:val="center"/>
        </w:trPr>
        <w:tc>
          <w:tcPr>
            <w:tcW w:w="1119" w:type="dxa"/>
            <w:tcBorders>
              <w:tl2br w:val="nil"/>
              <w:tr2bl w:val="nil"/>
            </w:tcBorders>
            <w:shd w:val="clear" w:color="auto" w:fill="auto"/>
            <w:tcMar>
              <w:left w:w="28" w:type="dxa"/>
              <w:right w:w="28" w:type="dxa"/>
            </w:tcMar>
            <w:vAlign w:val="center"/>
          </w:tcPr>
          <w:p>
            <w:pPr>
              <w:pStyle w:val="54"/>
              <w:ind w:left="0" w:leftChars="0" w:firstLine="0" w:firstLineChars="0"/>
              <w:jc w:val="center"/>
              <w:rPr>
                <w:rFonts w:hint="eastAsia" w:ascii="宋体" w:hAnsi="宋体" w:eastAsia="宋体" w:cs="宋体"/>
                <w:sz w:val="22"/>
                <w:szCs w:val="22"/>
              </w:rPr>
            </w:pPr>
            <w:r>
              <w:rPr>
                <w:rFonts w:hint="eastAsia" w:ascii="宋体" w:hAnsi="宋体" w:eastAsia="宋体" w:cs="宋体"/>
                <w:sz w:val="22"/>
                <w:szCs w:val="22"/>
              </w:rPr>
              <w:t>关键过程</w:t>
            </w:r>
          </w:p>
        </w:tc>
        <w:tc>
          <w:tcPr>
            <w:tcW w:w="1134" w:type="dxa"/>
            <w:tcBorders>
              <w:tl2br w:val="nil"/>
              <w:tr2bl w:val="nil"/>
            </w:tcBorders>
            <w:shd w:val="clear" w:color="auto" w:fill="auto"/>
            <w:tcMar>
              <w:left w:w="28" w:type="dxa"/>
              <w:right w:w="28" w:type="dxa"/>
            </w:tcMar>
            <w:vAlign w:val="center"/>
          </w:tcPr>
          <w:p>
            <w:pPr>
              <w:pStyle w:val="54"/>
              <w:ind w:left="0" w:leftChars="0" w:firstLine="0" w:firstLineChars="0"/>
              <w:jc w:val="center"/>
              <w:rPr>
                <w:rFonts w:hint="eastAsia" w:ascii="宋体" w:hAnsi="宋体" w:eastAsia="宋体" w:cs="宋体"/>
                <w:sz w:val="22"/>
                <w:szCs w:val="22"/>
              </w:rPr>
            </w:pPr>
            <w:r>
              <w:rPr>
                <w:rFonts w:hint="eastAsia" w:ascii="宋体" w:hAnsi="宋体" w:eastAsia="宋体" w:cs="宋体"/>
                <w:sz w:val="22"/>
                <w:szCs w:val="22"/>
              </w:rPr>
              <w:t>主要因素</w:t>
            </w:r>
          </w:p>
        </w:tc>
        <w:tc>
          <w:tcPr>
            <w:tcW w:w="5921" w:type="dxa"/>
            <w:tcBorders>
              <w:tl2br w:val="nil"/>
              <w:tr2bl w:val="nil"/>
            </w:tcBorders>
            <w:shd w:val="clear" w:color="auto" w:fill="auto"/>
            <w:tcMar>
              <w:left w:w="28" w:type="dxa"/>
              <w:right w:w="28" w:type="dxa"/>
            </w:tcMar>
            <w:vAlign w:val="center"/>
          </w:tcPr>
          <w:p>
            <w:pPr>
              <w:pStyle w:val="54"/>
              <w:jc w:val="center"/>
              <w:rPr>
                <w:rFonts w:hint="eastAsia" w:ascii="宋体" w:hAnsi="宋体" w:eastAsia="宋体" w:cs="宋体"/>
                <w:sz w:val="22"/>
                <w:szCs w:val="22"/>
              </w:rPr>
            </w:pPr>
            <w:r>
              <w:rPr>
                <w:rFonts w:hint="eastAsia" w:ascii="宋体" w:hAnsi="宋体" w:eastAsia="宋体" w:cs="宋体"/>
                <w:sz w:val="22"/>
                <w:szCs w:val="22"/>
              </w:rPr>
              <w:t>主要控制/改进措施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119" w:type="dxa"/>
            <w:vMerge w:val="restart"/>
            <w:tcBorders>
              <w:tl2br w:val="nil"/>
              <w:tr2bl w:val="nil"/>
            </w:tcBorders>
            <w:tcMar>
              <w:left w:w="28" w:type="dxa"/>
              <w:right w:w="28" w:type="dxa"/>
            </w:tcMar>
            <w:vAlign w:val="center"/>
          </w:tcPr>
          <w:p>
            <w:pPr>
              <w:pStyle w:val="57"/>
              <w:rPr>
                <w:rFonts w:hint="eastAsia" w:ascii="宋体" w:hAnsi="宋体" w:eastAsia="宋体" w:cs="宋体"/>
              </w:rPr>
            </w:pPr>
            <w:r>
              <w:rPr>
                <w:rFonts w:hint="eastAsia" w:ascii="宋体" w:hAnsi="宋体" w:eastAsia="宋体" w:cs="宋体"/>
              </w:rPr>
              <w:t>环境</w:t>
            </w:r>
          </w:p>
          <w:p>
            <w:pPr>
              <w:pStyle w:val="57"/>
              <w:rPr>
                <w:rFonts w:hint="eastAsia" w:ascii="宋体" w:hAnsi="宋体" w:eastAsia="宋体" w:cs="宋体"/>
              </w:rPr>
            </w:pPr>
            <w:r>
              <w:rPr>
                <w:rFonts w:hint="eastAsia" w:ascii="宋体" w:hAnsi="宋体" w:eastAsia="宋体" w:cs="宋体"/>
              </w:rPr>
              <w:t>保护</w:t>
            </w:r>
          </w:p>
        </w:tc>
        <w:tc>
          <w:tcPr>
            <w:tcW w:w="1134" w:type="dxa"/>
            <w:tcBorders>
              <w:tl2br w:val="nil"/>
              <w:tr2bl w:val="nil"/>
            </w:tcBorders>
            <w:tcMar>
              <w:left w:w="28" w:type="dxa"/>
              <w:right w:w="28" w:type="dxa"/>
            </w:tcMar>
            <w:vAlign w:val="center"/>
          </w:tcPr>
          <w:p>
            <w:pPr>
              <w:pStyle w:val="59"/>
              <w:jc w:val="left"/>
              <w:rPr>
                <w:rFonts w:hint="eastAsia" w:ascii="宋体" w:hAnsi="宋体" w:eastAsia="宋体" w:cs="宋体"/>
                <w:sz w:val="21"/>
                <w:szCs w:val="18"/>
              </w:rPr>
            </w:pPr>
            <w:r>
              <w:rPr>
                <w:rFonts w:hint="eastAsia" w:ascii="宋体" w:hAnsi="宋体" w:eastAsia="宋体" w:cs="宋体"/>
                <w:sz w:val="21"/>
                <w:szCs w:val="18"/>
              </w:rPr>
              <w:t>废水</w:t>
            </w:r>
          </w:p>
        </w:tc>
        <w:tc>
          <w:tcPr>
            <w:tcW w:w="5921" w:type="dxa"/>
            <w:vMerge w:val="restart"/>
            <w:tcBorders>
              <w:tl2br w:val="nil"/>
              <w:tr2bl w:val="nil"/>
            </w:tcBorders>
            <w:tcMar>
              <w:left w:w="28" w:type="dxa"/>
              <w:right w:w="28" w:type="dxa"/>
            </w:tcMar>
            <w:vAlign w:val="center"/>
          </w:tcPr>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1、建立环保组织网络，完善环境保护管理制度，定期组织环保培训；</w:t>
            </w:r>
          </w:p>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2、严格执行法律法规要求，控制各项指标在法律法规允许的氛围之内；</w:t>
            </w:r>
          </w:p>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3、开展环境因素识别评价，对重要环境因素确定管控措施；</w:t>
            </w:r>
          </w:p>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4、定期进行监测；</w:t>
            </w:r>
          </w:p>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5、生活污水纳入城市管道，安装除尘装置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19" w:type="dxa"/>
            <w:vMerge w:val="continue"/>
            <w:tcBorders>
              <w:tl2br w:val="nil"/>
              <w:tr2bl w:val="nil"/>
            </w:tcBorders>
            <w:tcMar>
              <w:left w:w="28" w:type="dxa"/>
              <w:right w:w="28" w:type="dxa"/>
            </w:tcMar>
            <w:vAlign w:val="center"/>
          </w:tcPr>
          <w:p>
            <w:pPr>
              <w:pStyle w:val="57"/>
              <w:rPr>
                <w:rFonts w:hint="eastAsia" w:ascii="宋体" w:hAnsi="宋体" w:eastAsia="宋体" w:cs="宋体"/>
              </w:rPr>
            </w:pPr>
          </w:p>
        </w:tc>
        <w:tc>
          <w:tcPr>
            <w:tcW w:w="1134" w:type="dxa"/>
            <w:tcBorders>
              <w:tl2br w:val="nil"/>
              <w:tr2bl w:val="nil"/>
            </w:tcBorders>
            <w:tcMar>
              <w:left w:w="28" w:type="dxa"/>
              <w:right w:w="28" w:type="dxa"/>
            </w:tcMar>
            <w:vAlign w:val="center"/>
          </w:tcPr>
          <w:p>
            <w:pPr>
              <w:pStyle w:val="59"/>
              <w:jc w:val="left"/>
              <w:rPr>
                <w:rFonts w:hint="eastAsia" w:ascii="宋体" w:hAnsi="宋体" w:eastAsia="宋体" w:cs="宋体"/>
                <w:sz w:val="21"/>
                <w:szCs w:val="18"/>
              </w:rPr>
            </w:pPr>
            <w:r>
              <w:rPr>
                <w:rFonts w:hint="eastAsia" w:ascii="宋体" w:hAnsi="宋体" w:eastAsia="宋体" w:cs="宋体"/>
                <w:sz w:val="21"/>
                <w:szCs w:val="18"/>
              </w:rPr>
              <w:t>废气</w:t>
            </w:r>
          </w:p>
        </w:tc>
        <w:tc>
          <w:tcPr>
            <w:tcW w:w="5921" w:type="dxa"/>
            <w:vMerge w:val="continue"/>
            <w:tcBorders>
              <w:tl2br w:val="nil"/>
              <w:tr2bl w:val="nil"/>
            </w:tcBorders>
            <w:tcMar>
              <w:left w:w="28" w:type="dxa"/>
              <w:right w:w="28" w:type="dxa"/>
            </w:tcMar>
            <w:vAlign w:val="center"/>
          </w:tcPr>
          <w:p>
            <w:pPr>
              <w:pStyle w:val="59"/>
              <w:jc w:val="left"/>
              <w:rPr>
                <w:rFonts w:hint="eastAsia" w:ascii="宋体" w:hAnsi="宋体" w:eastAsia="宋体" w:cs="宋体"/>
                <w:sz w:val="21"/>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1119" w:type="dxa"/>
            <w:vMerge w:val="continue"/>
            <w:tcBorders>
              <w:tl2br w:val="nil"/>
              <w:tr2bl w:val="nil"/>
            </w:tcBorders>
            <w:tcMar>
              <w:left w:w="28" w:type="dxa"/>
              <w:right w:w="28" w:type="dxa"/>
            </w:tcMar>
            <w:vAlign w:val="center"/>
          </w:tcPr>
          <w:p>
            <w:pPr>
              <w:pStyle w:val="57"/>
              <w:rPr>
                <w:rFonts w:hint="eastAsia" w:ascii="宋体" w:hAnsi="宋体" w:eastAsia="宋体" w:cs="宋体"/>
              </w:rPr>
            </w:pPr>
          </w:p>
        </w:tc>
        <w:tc>
          <w:tcPr>
            <w:tcW w:w="1134" w:type="dxa"/>
            <w:tcBorders>
              <w:tl2br w:val="nil"/>
              <w:tr2bl w:val="nil"/>
            </w:tcBorders>
            <w:tcMar>
              <w:left w:w="28" w:type="dxa"/>
              <w:right w:w="28" w:type="dxa"/>
            </w:tcMar>
            <w:vAlign w:val="center"/>
          </w:tcPr>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厂界噪声</w:t>
            </w:r>
          </w:p>
        </w:tc>
        <w:tc>
          <w:tcPr>
            <w:tcW w:w="5921" w:type="dxa"/>
            <w:vMerge w:val="continue"/>
            <w:tcBorders>
              <w:tl2br w:val="nil"/>
              <w:tr2bl w:val="nil"/>
            </w:tcBorders>
            <w:tcMar>
              <w:left w:w="28" w:type="dxa"/>
              <w:right w:w="28" w:type="dxa"/>
            </w:tcMar>
            <w:vAlign w:val="center"/>
          </w:tcPr>
          <w:p>
            <w:pPr>
              <w:pStyle w:val="59"/>
              <w:jc w:val="left"/>
              <w:rPr>
                <w:rFonts w:hint="eastAsia" w:ascii="宋体" w:hAnsi="宋体" w:eastAsia="宋体" w:cs="宋体"/>
                <w:sz w:val="21"/>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119" w:type="dxa"/>
            <w:vMerge w:val="continue"/>
            <w:tcBorders>
              <w:tl2br w:val="nil"/>
              <w:tr2bl w:val="nil"/>
            </w:tcBorders>
            <w:tcMar>
              <w:left w:w="28" w:type="dxa"/>
              <w:right w:w="28" w:type="dxa"/>
            </w:tcMar>
            <w:vAlign w:val="center"/>
          </w:tcPr>
          <w:p>
            <w:pPr>
              <w:pStyle w:val="57"/>
              <w:rPr>
                <w:rFonts w:hint="eastAsia" w:ascii="宋体" w:hAnsi="宋体" w:eastAsia="宋体" w:cs="宋体"/>
              </w:rPr>
            </w:pPr>
          </w:p>
        </w:tc>
        <w:tc>
          <w:tcPr>
            <w:tcW w:w="1134" w:type="dxa"/>
            <w:tcBorders>
              <w:tl2br w:val="nil"/>
              <w:tr2bl w:val="nil"/>
            </w:tcBorders>
            <w:tcMar>
              <w:left w:w="28" w:type="dxa"/>
              <w:right w:w="28" w:type="dxa"/>
            </w:tcMar>
            <w:vAlign w:val="center"/>
          </w:tcPr>
          <w:p>
            <w:pPr>
              <w:pStyle w:val="59"/>
              <w:ind w:left="0" w:leftChars="0" w:firstLine="0" w:firstLineChars="0"/>
              <w:jc w:val="center"/>
              <w:rPr>
                <w:rFonts w:hint="eastAsia" w:ascii="宋体" w:hAnsi="宋体" w:eastAsia="宋体" w:cs="宋体"/>
                <w:sz w:val="21"/>
                <w:szCs w:val="18"/>
              </w:rPr>
            </w:pPr>
            <w:r>
              <w:rPr>
                <w:rFonts w:hint="eastAsia" w:ascii="宋体" w:hAnsi="宋体" w:eastAsia="宋体" w:cs="宋体"/>
                <w:sz w:val="21"/>
                <w:szCs w:val="18"/>
              </w:rPr>
              <w:t>危险固废</w:t>
            </w:r>
          </w:p>
        </w:tc>
        <w:tc>
          <w:tcPr>
            <w:tcW w:w="5921" w:type="dxa"/>
            <w:vMerge w:val="continue"/>
            <w:tcBorders>
              <w:tl2br w:val="nil"/>
              <w:tr2bl w:val="nil"/>
            </w:tcBorders>
            <w:tcMar>
              <w:left w:w="28" w:type="dxa"/>
              <w:right w:w="28" w:type="dxa"/>
            </w:tcMar>
            <w:vAlign w:val="center"/>
          </w:tcPr>
          <w:p>
            <w:pPr>
              <w:pStyle w:val="59"/>
              <w:jc w:val="left"/>
              <w:rPr>
                <w:rFonts w:hint="eastAsia" w:ascii="宋体" w:hAnsi="宋体" w:eastAsia="宋体" w:cs="宋体"/>
                <w:sz w:val="21"/>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119" w:type="dxa"/>
            <w:vMerge w:val="restart"/>
            <w:tcBorders>
              <w:tl2br w:val="nil"/>
              <w:tr2bl w:val="nil"/>
            </w:tcBorders>
            <w:tcMar>
              <w:left w:w="28" w:type="dxa"/>
              <w:right w:w="28" w:type="dxa"/>
            </w:tcMar>
            <w:vAlign w:val="center"/>
          </w:tcPr>
          <w:p>
            <w:pPr>
              <w:pStyle w:val="57"/>
              <w:rPr>
                <w:rFonts w:hint="eastAsia" w:ascii="宋体" w:hAnsi="宋体" w:eastAsia="宋体" w:cs="宋体"/>
              </w:rPr>
            </w:pPr>
            <w:r>
              <w:rPr>
                <w:rFonts w:hint="eastAsia" w:ascii="宋体" w:hAnsi="宋体" w:eastAsia="宋体" w:cs="宋体"/>
              </w:rPr>
              <w:t>节能</w:t>
            </w:r>
          </w:p>
          <w:p>
            <w:pPr>
              <w:pStyle w:val="57"/>
              <w:rPr>
                <w:rFonts w:hint="eastAsia" w:ascii="宋体" w:hAnsi="宋体" w:eastAsia="宋体" w:cs="宋体"/>
              </w:rPr>
            </w:pPr>
            <w:r>
              <w:rPr>
                <w:rFonts w:hint="eastAsia" w:ascii="宋体" w:hAnsi="宋体" w:eastAsia="宋体" w:cs="宋体"/>
              </w:rPr>
              <w:t>降耗</w:t>
            </w:r>
          </w:p>
        </w:tc>
        <w:tc>
          <w:tcPr>
            <w:tcW w:w="1134" w:type="dxa"/>
            <w:vMerge w:val="restart"/>
            <w:tcBorders>
              <w:tl2br w:val="nil"/>
              <w:tr2bl w:val="nil"/>
            </w:tcBorders>
            <w:tcMar>
              <w:left w:w="28" w:type="dxa"/>
              <w:right w:w="28" w:type="dxa"/>
            </w:tcMar>
            <w:vAlign w:val="center"/>
          </w:tcPr>
          <w:p>
            <w:pPr>
              <w:pStyle w:val="59"/>
              <w:ind w:left="0" w:leftChars="0" w:firstLine="0" w:firstLineChars="0"/>
              <w:jc w:val="center"/>
              <w:rPr>
                <w:rFonts w:hint="eastAsia" w:ascii="宋体" w:hAnsi="宋体" w:eastAsia="宋体" w:cs="宋体"/>
                <w:sz w:val="21"/>
                <w:szCs w:val="18"/>
              </w:rPr>
            </w:pPr>
            <w:r>
              <w:rPr>
                <w:rFonts w:hint="eastAsia" w:ascii="宋体" w:hAnsi="宋体" w:eastAsia="宋体" w:cs="宋体"/>
                <w:sz w:val="21"/>
                <w:szCs w:val="18"/>
              </w:rPr>
              <w:t>能耗</w:t>
            </w:r>
          </w:p>
        </w:tc>
        <w:tc>
          <w:tcPr>
            <w:tcW w:w="5921" w:type="dxa"/>
            <w:vMerge w:val="restart"/>
            <w:tcBorders>
              <w:tl2br w:val="nil"/>
              <w:tr2bl w:val="nil"/>
            </w:tcBorders>
            <w:tcMar>
              <w:left w:w="28" w:type="dxa"/>
              <w:right w:w="28" w:type="dxa"/>
            </w:tcMar>
            <w:vAlign w:val="center"/>
          </w:tcPr>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通过设备改造、严格控制能耗并作为考核指标，日常检查。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119" w:type="dxa"/>
            <w:vMerge w:val="continue"/>
            <w:tcBorders>
              <w:tl2br w:val="nil"/>
              <w:tr2bl w:val="nil"/>
            </w:tcBorders>
            <w:tcMar>
              <w:left w:w="28" w:type="dxa"/>
              <w:right w:w="28" w:type="dxa"/>
            </w:tcMar>
            <w:vAlign w:val="center"/>
          </w:tcPr>
          <w:p>
            <w:pPr>
              <w:pStyle w:val="57"/>
              <w:rPr>
                <w:rFonts w:hint="eastAsia" w:ascii="宋体" w:hAnsi="宋体" w:eastAsia="宋体" w:cs="宋体"/>
              </w:rPr>
            </w:pPr>
          </w:p>
        </w:tc>
        <w:tc>
          <w:tcPr>
            <w:tcW w:w="1134" w:type="dxa"/>
            <w:vMerge w:val="continue"/>
            <w:tcBorders>
              <w:tl2br w:val="nil"/>
              <w:tr2bl w:val="nil"/>
            </w:tcBorders>
            <w:tcMar>
              <w:left w:w="28" w:type="dxa"/>
              <w:right w:w="28" w:type="dxa"/>
            </w:tcMar>
            <w:vAlign w:val="center"/>
          </w:tcPr>
          <w:p>
            <w:pPr>
              <w:pStyle w:val="59"/>
              <w:jc w:val="center"/>
              <w:rPr>
                <w:rFonts w:hint="eastAsia" w:ascii="宋体" w:hAnsi="宋体" w:eastAsia="宋体" w:cs="宋体"/>
                <w:sz w:val="21"/>
                <w:szCs w:val="18"/>
              </w:rPr>
            </w:pPr>
          </w:p>
        </w:tc>
        <w:tc>
          <w:tcPr>
            <w:tcW w:w="5921" w:type="dxa"/>
            <w:vMerge w:val="continue"/>
            <w:tcBorders>
              <w:tl2br w:val="nil"/>
              <w:tr2bl w:val="nil"/>
            </w:tcBorders>
            <w:tcMar>
              <w:left w:w="28" w:type="dxa"/>
              <w:right w:w="28" w:type="dxa"/>
            </w:tcMar>
            <w:vAlign w:val="center"/>
          </w:tcPr>
          <w:p>
            <w:pPr>
              <w:pStyle w:val="59"/>
              <w:jc w:val="left"/>
              <w:rPr>
                <w:rFonts w:hint="eastAsia" w:ascii="宋体" w:hAnsi="宋体" w:eastAsia="宋体" w:cs="宋体"/>
                <w:sz w:val="21"/>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1119" w:type="dxa"/>
            <w:tcBorders>
              <w:tl2br w:val="nil"/>
              <w:tr2bl w:val="nil"/>
            </w:tcBorders>
            <w:tcMar>
              <w:left w:w="28" w:type="dxa"/>
              <w:right w:w="28" w:type="dxa"/>
            </w:tcMar>
            <w:vAlign w:val="center"/>
          </w:tcPr>
          <w:p>
            <w:pPr>
              <w:pStyle w:val="57"/>
              <w:rPr>
                <w:rFonts w:hint="eastAsia" w:ascii="宋体" w:hAnsi="宋体" w:eastAsia="宋体" w:cs="宋体"/>
              </w:rPr>
            </w:pPr>
            <w:r>
              <w:rPr>
                <w:rFonts w:hint="eastAsia" w:ascii="宋体" w:hAnsi="宋体" w:eastAsia="宋体" w:cs="宋体"/>
              </w:rPr>
              <w:t>安全</w:t>
            </w:r>
          </w:p>
          <w:p>
            <w:pPr>
              <w:pStyle w:val="57"/>
              <w:rPr>
                <w:rFonts w:hint="eastAsia" w:ascii="宋体" w:hAnsi="宋体" w:eastAsia="宋体" w:cs="宋体"/>
              </w:rPr>
            </w:pPr>
            <w:r>
              <w:rPr>
                <w:rFonts w:hint="eastAsia" w:ascii="宋体" w:hAnsi="宋体" w:eastAsia="宋体" w:cs="宋体"/>
              </w:rPr>
              <w:t>生产</w:t>
            </w:r>
          </w:p>
        </w:tc>
        <w:tc>
          <w:tcPr>
            <w:tcW w:w="1134" w:type="dxa"/>
            <w:tcBorders>
              <w:tl2br w:val="nil"/>
              <w:tr2bl w:val="nil"/>
            </w:tcBorders>
            <w:tcMar>
              <w:left w:w="28" w:type="dxa"/>
              <w:right w:w="28" w:type="dxa"/>
            </w:tcMar>
            <w:vAlign w:val="center"/>
          </w:tcPr>
          <w:p>
            <w:pPr>
              <w:pStyle w:val="59"/>
              <w:ind w:left="0" w:leftChars="0" w:firstLine="0" w:firstLineChars="0"/>
              <w:jc w:val="center"/>
              <w:rPr>
                <w:rFonts w:hint="eastAsia" w:ascii="宋体" w:hAnsi="宋体" w:eastAsia="宋体" w:cs="宋体"/>
                <w:sz w:val="21"/>
                <w:szCs w:val="18"/>
              </w:rPr>
            </w:pPr>
            <w:r>
              <w:rPr>
                <w:rFonts w:hint="eastAsia" w:ascii="宋体" w:hAnsi="宋体" w:eastAsia="宋体" w:cs="宋体"/>
                <w:sz w:val="21"/>
                <w:szCs w:val="18"/>
              </w:rPr>
              <w:t>工伤和火灾事故</w:t>
            </w:r>
          </w:p>
        </w:tc>
        <w:tc>
          <w:tcPr>
            <w:tcW w:w="5921" w:type="dxa"/>
            <w:tcBorders>
              <w:tl2br w:val="nil"/>
              <w:tr2bl w:val="nil"/>
            </w:tcBorders>
            <w:tcMar>
              <w:left w:w="28" w:type="dxa"/>
              <w:right w:w="28" w:type="dxa"/>
            </w:tcMar>
            <w:vAlign w:val="center"/>
          </w:tcPr>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1、建立安全管理组织网络，层层签订安全责任书，落实安全责任；</w:t>
            </w:r>
          </w:p>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2、开展危险源辨识和风险评价活动，组织开展各类隐患排查治理活动。以重点项目的方式推进重大安全隐患整改；</w:t>
            </w:r>
          </w:p>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3、加强安全教育培训和职业技能培训；</w:t>
            </w:r>
          </w:p>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4、加大安全检查和隐患排查整改力度；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119" w:type="dxa"/>
            <w:vMerge w:val="restart"/>
            <w:tcBorders>
              <w:tl2br w:val="nil"/>
              <w:tr2bl w:val="nil"/>
            </w:tcBorders>
            <w:tcMar>
              <w:left w:w="28" w:type="dxa"/>
              <w:right w:w="28" w:type="dxa"/>
            </w:tcMar>
            <w:vAlign w:val="center"/>
          </w:tcPr>
          <w:p>
            <w:pPr>
              <w:pStyle w:val="57"/>
              <w:rPr>
                <w:rFonts w:hint="eastAsia" w:ascii="宋体" w:hAnsi="宋体" w:eastAsia="宋体" w:cs="宋体"/>
              </w:rPr>
            </w:pPr>
            <w:r>
              <w:rPr>
                <w:rFonts w:hint="eastAsia" w:ascii="宋体" w:hAnsi="宋体" w:eastAsia="宋体" w:cs="宋体"/>
              </w:rPr>
              <w:t>职业</w:t>
            </w:r>
          </w:p>
          <w:p>
            <w:pPr>
              <w:pStyle w:val="57"/>
              <w:rPr>
                <w:rFonts w:hint="eastAsia" w:ascii="宋体" w:hAnsi="宋体" w:eastAsia="宋体" w:cs="宋体"/>
              </w:rPr>
            </w:pPr>
            <w:r>
              <w:rPr>
                <w:rFonts w:hint="eastAsia" w:ascii="宋体" w:hAnsi="宋体" w:eastAsia="宋体" w:cs="宋体"/>
              </w:rPr>
              <w:t>健康</w:t>
            </w:r>
          </w:p>
        </w:tc>
        <w:tc>
          <w:tcPr>
            <w:tcW w:w="1134" w:type="dxa"/>
            <w:tcBorders>
              <w:tl2br w:val="nil"/>
              <w:tr2bl w:val="nil"/>
            </w:tcBorders>
            <w:tcMar>
              <w:left w:w="28" w:type="dxa"/>
              <w:right w:w="28" w:type="dxa"/>
            </w:tcMar>
            <w:vAlign w:val="center"/>
          </w:tcPr>
          <w:p>
            <w:pPr>
              <w:pStyle w:val="59"/>
              <w:ind w:left="0" w:leftChars="0" w:firstLine="0" w:firstLineChars="0"/>
              <w:jc w:val="center"/>
              <w:rPr>
                <w:rFonts w:hint="eastAsia" w:ascii="宋体" w:hAnsi="宋体" w:eastAsia="宋体" w:cs="宋体"/>
                <w:sz w:val="21"/>
                <w:szCs w:val="18"/>
              </w:rPr>
            </w:pPr>
            <w:r>
              <w:rPr>
                <w:rFonts w:hint="eastAsia" w:ascii="宋体" w:hAnsi="宋体" w:eastAsia="宋体" w:cs="宋体"/>
                <w:sz w:val="21"/>
                <w:szCs w:val="18"/>
              </w:rPr>
              <w:t>噪音</w:t>
            </w:r>
          </w:p>
        </w:tc>
        <w:tc>
          <w:tcPr>
            <w:tcW w:w="5921" w:type="dxa"/>
            <w:tcBorders>
              <w:tl2br w:val="nil"/>
              <w:tr2bl w:val="nil"/>
            </w:tcBorders>
            <w:tcMar>
              <w:left w:w="28" w:type="dxa"/>
              <w:right w:w="28" w:type="dxa"/>
            </w:tcMar>
            <w:vAlign w:val="center"/>
          </w:tcPr>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督促职工按要求佩戴好耳塞。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1119" w:type="dxa"/>
            <w:vMerge w:val="continue"/>
            <w:tcBorders>
              <w:tl2br w:val="nil"/>
              <w:tr2bl w:val="nil"/>
            </w:tcBorders>
            <w:tcMar>
              <w:left w:w="28" w:type="dxa"/>
              <w:right w:w="28" w:type="dxa"/>
            </w:tcMar>
            <w:vAlign w:val="center"/>
          </w:tcPr>
          <w:p>
            <w:pPr>
              <w:adjustRightInd w:val="0"/>
              <w:snapToGrid w:val="0"/>
              <w:jc w:val="center"/>
              <w:rPr>
                <w:rFonts w:hint="eastAsia" w:ascii="宋体" w:hAnsi="宋体" w:eastAsia="宋体" w:cs="宋体"/>
                <w:sz w:val="18"/>
                <w:szCs w:val="18"/>
              </w:rPr>
            </w:pPr>
          </w:p>
        </w:tc>
        <w:tc>
          <w:tcPr>
            <w:tcW w:w="1134" w:type="dxa"/>
            <w:tcBorders>
              <w:tl2br w:val="nil"/>
              <w:tr2bl w:val="nil"/>
            </w:tcBorders>
            <w:tcMar>
              <w:left w:w="28" w:type="dxa"/>
              <w:right w:w="28" w:type="dxa"/>
            </w:tcMar>
            <w:vAlign w:val="center"/>
          </w:tcPr>
          <w:p>
            <w:pPr>
              <w:pStyle w:val="59"/>
              <w:ind w:left="0" w:leftChars="0" w:firstLine="0" w:firstLineChars="0"/>
              <w:jc w:val="center"/>
              <w:rPr>
                <w:rFonts w:hint="eastAsia" w:ascii="宋体" w:hAnsi="宋体" w:eastAsia="宋体" w:cs="宋体"/>
                <w:sz w:val="21"/>
                <w:szCs w:val="18"/>
              </w:rPr>
            </w:pPr>
            <w:r>
              <w:rPr>
                <w:rFonts w:hint="eastAsia" w:ascii="宋体" w:hAnsi="宋体" w:eastAsia="宋体" w:cs="宋体"/>
                <w:sz w:val="21"/>
                <w:szCs w:val="18"/>
              </w:rPr>
              <w:t>有害气体</w:t>
            </w:r>
          </w:p>
        </w:tc>
        <w:tc>
          <w:tcPr>
            <w:tcW w:w="5921" w:type="dxa"/>
            <w:tcBorders>
              <w:tl2br w:val="nil"/>
              <w:tr2bl w:val="nil"/>
            </w:tcBorders>
            <w:tcMar>
              <w:left w:w="28" w:type="dxa"/>
              <w:right w:w="28" w:type="dxa"/>
            </w:tcMar>
            <w:vAlign w:val="center"/>
          </w:tcPr>
          <w:p>
            <w:pPr>
              <w:pStyle w:val="59"/>
              <w:ind w:left="0" w:leftChars="0" w:firstLine="0" w:firstLineChars="0"/>
              <w:jc w:val="left"/>
              <w:rPr>
                <w:rFonts w:hint="eastAsia" w:ascii="宋体" w:hAnsi="宋体" w:eastAsia="宋体" w:cs="宋体"/>
                <w:sz w:val="21"/>
                <w:szCs w:val="18"/>
              </w:rPr>
            </w:pPr>
            <w:r>
              <w:rPr>
                <w:rFonts w:hint="eastAsia" w:ascii="宋体" w:hAnsi="宋体" w:eastAsia="宋体" w:cs="宋体"/>
                <w:sz w:val="21"/>
                <w:szCs w:val="18"/>
              </w:rPr>
              <w:t>督促职工按要求佩戴好防尘口罩。</w:t>
            </w:r>
          </w:p>
        </w:tc>
      </w:tr>
    </w:tbl>
    <w:p>
      <w:pPr>
        <w:adjustRightInd/>
        <w:snapToGrid/>
        <w:spacing w:before="260" w:line="360" w:lineRule="auto"/>
        <w:ind w:firstLine="0" w:firstLineChars="0"/>
        <w:outlineLvl w:val="1"/>
        <w:rPr>
          <w:rFonts w:hint="eastAsia" w:ascii="宋体" w:hAnsi="宋体" w:eastAsia="宋体" w:cs="宋体"/>
          <w:b/>
          <w:bCs/>
          <w:kern w:val="44"/>
          <w:szCs w:val="44"/>
        </w:rPr>
      </w:pPr>
      <w:bookmarkStart w:id="21" w:name="_Toc27392"/>
      <w:r>
        <w:rPr>
          <w:rFonts w:hint="eastAsia" w:ascii="宋体" w:hAnsi="宋体" w:eastAsia="宋体" w:cs="宋体"/>
          <w:b/>
          <w:bCs/>
          <w:kern w:val="44"/>
          <w:szCs w:val="44"/>
        </w:rPr>
        <w:t>三、积极节能减排</w:t>
      </w:r>
      <w:bookmarkEnd w:id="21"/>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1、设施改造、节能降耗</w:t>
      </w:r>
    </w:p>
    <w:p>
      <w:pPr>
        <w:pStyle w:val="55"/>
        <w:ind w:firstLine="480"/>
        <w:rPr>
          <w:rFonts w:hint="eastAsia" w:ascii="宋体" w:hAnsi="宋体" w:eastAsia="宋体" w:cs="宋体"/>
          <w:sz w:val="24"/>
        </w:rPr>
      </w:pPr>
      <w:r>
        <w:rPr>
          <w:rFonts w:hint="eastAsia" w:ascii="宋体" w:hAnsi="宋体" w:eastAsia="宋体" w:cs="宋体"/>
          <w:sz w:val="24"/>
        </w:rPr>
        <w:t>具体措施有：制定节能降耗计划，并按计划推进实施，定期进行评估。</w:t>
      </w:r>
    </w:p>
    <w:p>
      <w:pPr>
        <w:pStyle w:val="55"/>
        <w:ind w:firstLine="480"/>
        <w:rPr>
          <w:rFonts w:hint="eastAsia" w:ascii="宋体" w:hAnsi="宋体" w:eastAsia="宋体" w:cs="宋体"/>
          <w:sz w:val="24"/>
        </w:rPr>
      </w:pPr>
      <w:r>
        <w:rPr>
          <w:rFonts w:hint="eastAsia" w:ascii="宋体" w:hAnsi="宋体" w:eastAsia="宋体" w:cs="宋体"/>
          <w:sz w:val="24"/>
        </w:rPr>
        <w:t>每月汇总能资源使用情况，每季度对能资源使用状况进行综合分析并形成报告，针对指标异常现象，督促相关单位制定整改措施，并监督落实实施。</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2、提高员工环保意识、积极共筑碧水蓝天</w:t>
      </w:r>
    </w:p>
    <w:p>
      <w:pPr>
        <w:widowControl w:val="0"/>
        <w:adjustRightInd/>
        <w:snapToGrid/>
        <w:spacing w:line="360" w:lineRule="auto"/>
        <w:ind w:firstLine="480"/>
        <w:rPr>
          <w:rFonts w:hint="eastAsia" w:ascii="宋体" w:hAnsi="宋体" w:eastAsia="宋体" w:cs="宋体"/>
        </w:rPr>
      </w:pPr>
      <w:r>
        <w:rPr>
          <w:rFonts w:hint="eastAsia" w:ascii="宋体" w:hAnsi="宋体" w:eastAsia="宋体" w:cs="宋体"/>
        </w:rPr>
        <w:t>公司积极邀请专家莅临公司对员工进行环保、安全培训，对国家、地方的环境政策进行宣传讲解，使员工能充分认识到自己的行为和国家建设大局及公司的发展运营息息相关，加强正面宣传和引导。对于车间漏油，以往员工只顾产量，不顾环境被污染，在</w:t>
      </w:r>
      <w:r>
        <w:rPr>
          <w:rFonts w:hint="eastAsia" w:ascii="宋体" w:hAnsi="宋体" w:eastAsia="宋体" w:cs="宋体"/>
          <w:lang w:val="en-US" w:eastAsia="zh-CN"/>
        </w:rPr>
        <w:t>董事长</w:t>
      </w:r>
      <w:r>
        <w:rPr>
          <w:rFonts w:hint="eastAsia" w:ascii="宋体" w:hAnsi="宋体" w:eastAsia="宋体" w:cs="宋体"/>
        </w:rPr>
        <w:t>循循善诱下，对于已加工好的产品员工愿意多些停留，等产品表面不漏油时才会转移至下一道工序，减少转序过程中造成的污染。在全体员工的努力下，集思广益，通过技术创新把环保、节能减排做地更好，创建真正的绿色花园式工厂。</w:t>
      </w:r>
    </w:p>
    <w:p>
      <w:pPr>
        <w:pStyle w:val="21"/>
        <w:adjustRightInd/>
        <w:snapToGrid/>
        <w:spacing w:after="0" w:line="360" w:lineRule="auto"/>
        <w:ind w:left="0" w:leftChars="0" w:firstLine="480"/>
        <w:rPr>
          <w:rFonts w:hint="eastAsia" w:ascii="宋体" w:hAnsi="宋体" w:eastAsia="宋体" w:cs="宋体"/>
        </w:rPr>
      </w:pPr>
      <w:r>
        <w:rPr>
          <w:rFonts w:hint="eastAsia" w:ascii="宋体" w:hAnsi="宋体" w:eastAsia="宋体" w:cs="宋体"/>
        </w:rPr>
        <w:t>同时，将节能减排和环境保护工作融入公司日常的发展中，将节水、节电、节油、减排作为控制重点，扎实做好相关工作。大力开展群众性的节能科普活动，做好舆论宣传，营造良好氛围。在办公楼及宿舍更换安装节能灯具、节水阀门，在楼道走廊安装声控灯，实现了节约用电和节约用水；办公用品领用遵循“能俭不奢”、“能用不换”、“能修不买”的原则，实现了降低企业成本；尽量采用OA系统办公，优先采购节能产品，对纸张做到双面打印，废纸利用，避免不必要的浪费，打印机、复印机的墨粉用完后，重新灌装，做到了节约纸张和耗材；在公司职工食堂限制使用塑料购物袋，坚决不使用一次性筷子和餐盒，做到了减少浪费；加强车辆管理，实行“一车一卡”定点加油制度，对车辆做到勤检查、勤保养，确保在最佳状态行驶，用车采用派车单的方式，防止出现无令出车的现象，出车前尽量做到统筹安排，提前计划好最佳行车路线，做到了减少能耗；对食堂洗菜、办公楼打扫卫生等产生的废水充分利用，如二次利用或浇灌绿地。</w:t>
      </w:r>
    </w:p>
    <w:p>
      <w:pPr>
        <w:pStyle w:val="21"/>
        <w:ind w:left="480" w:firstLine="480"/>
        <w:rPr>
          <w:rFonts w:hint="eastAsia" w:ascii="宋体" w:hAnsi="宋体" w:eastAsia="宋体" w:cs="宋体"/>
        </w:rPr>
      </w:pPr>
    </w:p>
    <w:p>
      <w:pPr>
        <w:pStyle w:val="21"/>
        <w:ind w:left="480" w:firstLine="480"/>
        <w:rPr>
          <w:rFonts w:hint="eastAsia" w:ascii="宋体" w:hAnsi="宋体" w:eastAsia="宋体" w:cs="宋体"/>
        </w:rPr>
      </w:pPr>
    </w:p>
    <w:p>
      <w:pPr>
        <w:pStyle w:val="21"/>
        <w:ind w:left="480" w:firstLine="480"/>
        <w:rPr>
          <w:rFonts w:hint="eastAsia" w:ascii="宋体" w:hAnsi="宋体" w:eastAsia="宋体" w:cs="宋体"/>
        </w:rPr>
      </w:pPr>
    </w:p>
    <w:p>
      <w:pPr>
        <w:pStyle w:val="21"/>
        <w:ind w:left="480" w:firstLine="480"/>
        <w:rPr>
          <w:rFonts w:hint="eastAsia" w:ascii="宋体" w:hAnsi="宋体" w:eastAsia="宋体" w:cs="宋体"/>
        </w:rPr>
      </w:pPr>
    </w:p>
    <w:p>
      <w:pPr>
        <w:pStyle w:val="21"/>
        <w:ind w:left="480" w:firstLine="480"/>
        <w:rPr>
          <w:rFonts w:hint="eastAsia" w:ascii="宋体" w:hAnsi="宋体" w:eastAsia="宋体" w:cs="宋体"/>
        </w:rPr>
      </w:pPr>
    </w:p>
    <w:p>
      <w:pPr>
        <w:pStyle w:val="3"/>
        <w:jc w:val="center"/>
        <w:rPr>
          <w:rFonts w:hint="eastAsia" w:ascii="宋体" w:hAnsi="宋体" w:eastAsia="宋体" w:cs="宋体"/>
          <w:sz w:val="30"/>
          <w:szCs w:val="30"/>
        </w:rPr>
      </w:pPr>
      <w:bookmarkStart w:id="22" w:name="_Toc30001"/>
      <w:r>
        <w:rPr>
          <w:rFonts w:hint="eastAsia" w:ascii="宋体" w:hAnsi="宋体" w:eastAsia="宋体" w:cs="宋体"/>
          <w:sz w:val="30"/>
          <w:szCs w:val="30"/>
        </w:rPr>
        <w:t>第四章  携手员工，共享发展</w:t>
      </w:r>
      <w:bookmarkEnd w:id="22"/>
    </w:p>
    <w:p>
      <w:pPr>
        <w:adjustRightInd/>
        <w:snapToGrid/>
        <w:spacing w:line="360" w:lineRule="auto"/>
        <w:ind w:firstLine="480"/>
        <w:rPr>
          <w:rFonts w:hint="eastAsia" w:ascii="宋体" w:hAnsi="宋体" w:eastAsia="宋体" w:cs="宋体"/>
        </w:rPr>
      </w:pPr>
      <w:r>
        <w:rPr>
          <w:rFonts w:hint="eastAsia" w:ascii="宋体" w:hAnsi="宋体" w:eastAsia="宋体" w:cs="宋体"/>
        </w:rPr>
        <w:t>公司一直以来十分注重劳动用工、劳动合同管理、劳动保障、社会保险等各项工作，在认真贯彻落实国家政策，推动各项工作稳步向前的同时，通过扩大员工福利惠及范围，增加服务员工、造福员工等诸多活动，营造了新型和谐的劳动氛围和安全有保障的劳动环境，最大程度的确保了员工的合法权益。</w:t>
      </w:r>
    </w:p>
    <w:p>
      <w:pPr>
        <w:adjustRightInd/>
        <w:snapToGrid/>
        <w:spacing w:before="260" w:line="360" w:lineRule="auto"/>
        <w:ind w:firstLine="0" w:firstLineChars="0"/>
        <w:outlineLvl w:val="1"/>
        <w:rPr>
          <w:rFonts w:hint="eastAsia" w:ascii="宋体" w:hAnsi="宋体" w:eastAsia="宋体" w:cs="宋体"/>
          <w:b/>
          <w:bCs/>
          <w:kern w:val="44"/>
          <w:szCs w:val="44"/>
        </w:rPr>
      </w:pPr>
      <w:bookmarkStart w:id="23" w:name="_Toc3648"/>
      <w:r>
        <w:rPr>
          <w:rFonts w:hint="eastAsia" w:ascii="宋体" w:hAnsi="宋体" w:eastAsia="宋体" w:cs="宋体"/>
          <w:b/>
          <w:bCs/>
          <w:kern w:val="44"/>
          <w:szCs w:val="44"/>
        </w:rPr>
        <w:t>一、员工权益保障</w:t>
      </w:r>
      <w:bookmarkEnd w:id="23"/>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1、保障员工薪资权益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制定发布员工晋升管理制度、奖惩、绩效、薪酬、福利等与员工相关的制度、流程。每月按时发放工资，同时对行业内外薪资情况进行分析与对比，做好内部薪资水平的均衡性与外部的竞争性，建立工资集体协商机制、增长机制、年度调薪方案。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2、保障员工福利权益 </w:t>
      </w:r>
    </w:p>
    <w:p>
      <w:pPr>
        <w:pStyle w:val="21"/>
        <w:adjustRightInd/>
        <w:snapToGrid/>
        <w:spacing w:line="360" w:lineRule="auto"/>
        <w:ind w:left="0" w:leftChars="0" w:firstLine="480"/>
        <w:rPr>
          <w:rFonts w:hint="eastAsia" w:ascii="宋体" w:hAnsi="宋体" w:eastAsia="宋体" w:cs="宋体"/>
          <w:color w:val="000000"/>
        </w:rPr>
      </w:pPr>
      <w:r>
        <w:rPr>
          <w:rFonts w:hint="eastAsia" w:ascii="宋体" w:hAnsi="宋体" w:cs="宋体"/>
          <w:color w:val="000000"/>
          <w:lang w:eastAsia="zh-CN"/>
        </w:rPr>
        <w:t>哥伦</w:t>
      </w:r>
      <w:r>
        <w:rPr>
          <w:rFonts w:hint="eastAsia" w:ascii="宋体" w:hAnsi="宋体" w:eastAsia="宋体" w:cs="宋体"/>
          <w:color w:val="000000"/>
        </w:rPr>
        <w:t>以人为本，关怀员工，严格遵循《劳动法》、《工会法》等法律法规保障员工的合法权益。全面推行法定福利：养老、失业、医疗、工伤及生育五大社会保险，同时增设</w:t>
      </w:r>
      <w:r>
        <w:rPr>
          <w:rFonts w:hint="eastAsia" w:ascii="宋体" w:hAnsi="宋体" w:cs="宋体"/>
          <w:color w:val="000000"/>
          <w:lang w:eastAsia="zh-CN"/>
        </w:rPr>
        <w:t>哥伦</w:t>
      </w:r>
      <w:r>
        <w:rPr>
          <w:rFonts w:hint="eastAsia" w:ascii="宋体" w:hAnsi="宋体" w:eastAsia="宋体" w:cs="宋体"/>
          <w:color w:val="000000"/>
        </w:rPr>
        <w:t>个性化福利，并不断推陈出新。</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3、保障员工参与权益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公司依法建立健全了员工代表大会制度，设立工会等组织，尊重员工的知情权、参与权、表达权和监督权，切实维护员工各项合法权益。 </w:t>
      </w:r>
    </w:p>
    <w:p>
      <w:pPr>
        <w:adjustRightInd/>
        <w:snapToGrid/>
        <w:spacing w:line="360" w:lineRule="auto"/>
        <w:ind w:firstLine="480"/>
        <w:rPr>
          <w:rFonts w:hint="eastAsia" w:ascii="宋体" w:hAnsi="宋体" w:eastAsia="宋体" w:cs="宋体"/>
          <w:color w:val="000000"/>
          <w:szCs w:val="24"/>
        </w:rPr>
      </w:pPr>
      <w:r>
        <w:rPr>
          <w:rFonts w:hint="eastAsia" w:ascii="宋体" w:hAnsi="宋体" w:eastAsia="宋体" w:cs="宋体"/>
          <w:color w:val="000000"/>
          <w:szCs w:val="24"/>
        </w:rPr>
        <w:t xml:space="preserve">(1）公司坚持员工代表大会、厂务公开、突出平等协商、集体合同等企业民主管理制度，提升了员工与企业“荣辱与共”的主人翁精神。 </w:t>
      </w:r>
    </w:p>
    <w:p>
      <w:pPr>
        <w:pStyle w:val="21"/>
        <w:adjustRightInd/>
        <w:snapToGrid/>
        <w:spacing w:line="360" w:lineRule="auto"/>
        <w:ind w:left="0" w:leftChars="0" w:firstLine="480"/>
        <w:rPr>
          <w:rFonts w:hint="eastAsia" w:ascii="宋体" w:hAnsi="宋体" w:eastAsia="宋体" w:cs="宋体"/>
          <w:color w:val="000000"/>
        </w:rPr>
      </w:pPr>
      <w:r>
        <w:rPr>
          <w:rFonts w:hint="eastAsia" w:ascii="宋体" w:hAnsi="宋体" w:eastAsia="宋体" w:cs="宋体"/>
          <w:color w:val="000000"/>
        </w:rPr>
        <w:t xml:space="preserve">(2) 完善厂务公开，建立健全招投标制度。企业改制以后，我公司逐渐形成了招投标制度的个性与特色，公司规定：凡是基本建设、维修项目、设备引进、一次性采购额在5000元以上的物资一律货比三家，才能定下合作方。对公司各项重大问题采取不同形式、不同层面的公开，消除暗箱操作的做法，加强了党风廉政建设，进一步提高了企业管理水平。 </w:t>
      </w:r>
    </w:p>
    <w:p>
      <w:pPr>
        <w:pStyle w:val="21"/>
        <w:numPr>
          <w:ilvl w:val="0"/>
          <w:numId w:val="4"/>
        </w:numPr>
        <w:adjustRightInd/>
        <w:snapToGrid/>
        <w:spacing w:after="0" w:line="360" w:lineRule="auto"/>
        <w:ind w:left="0" w:leftChars="0" w:firstLine="480"/>
        <w:rPr>
          <w:rFonts w:hint="eastAsia" w:ascii="宋体" w:hAnsi="宋体" w:eastAsia="宋体" w:cs="宋体"/>
          <w:color w:val="000000"/>
        </w:rPr>
      </w:pPr>
      <w:r>
        <w:rPr>
          <w:rFonts w:hint="eastAsia" w:ascii="宋体" w:hAnsi="宋体" w:eastAsia="宋体" w:cs="宋体"/>
          <w:color w:val="000000"/>
        </w:rPr>
        <w:t>健全员工代表大会制度。公司支持每年一次召开员工代表大会让员工积极参与企业管理，加强企业民主管理，提高企业凝聚力，着力营造“</w:t>
      </w:r>
      <w:r>
        <w:rPr>
          <w:rFonts w:hint="eastAsia" w:ascii="宋体" w:hAnsi="宋体" w:cs="宋体"/>
          <w:color w:val="000000"/>
          <w:lang w:eastAsia="zh-CN"/>
        </w:rPr>
        <w:t>哥伦</w:t>
      </w:r>
      <w:r>
        <w:rPr>
          <w:rFonts w:hint="eastAsia" w:ascii="宋体" w:hAnsi="宋体" w:eastAsia="宋体" w:cs="宋体"/>
          <w:color w:val="000000"/>
        </w:rPr>
        <w:t xml:space="preserve">”独到企业文化。此外，凡提交公司董事会决策的企业重大问题，先经员工代表大会讨论，使方案更加完整、更有群众基础。公司将企业发展目标、核心竞争力、员工切身利益等问题都向大会报告，并赋予员工代表对公司重大问题的知情权、参与权、建议权、监督权和民主评议权。 </w:t>
      </w:r>
    </w:p>
    <w:p>
      <w:pPr>
        <w:adjustRightInd/>
        <w:snapToGrid/>
        <w:spacing w:before="260" w:line="360" w:lineRule="auto"/>
        <w:ind w:firstLine="0" w:firstLineChars="0"/>
        <w:outlineLvl w:val="1"/>
        <w:rPr>
          <w:rFonts w:hint="eastAsia" w:ascii="宋体" w:hAnsi="宋体" w:eastAsia="宋体" w:cs="宋体"/>
          <w:b/>
          <w:bCs/>
          <w:kern w:val="44"/>
          <w:szCs w:val="44"/>
        </w:rPr>
      </w:pPr>
      <w:bookmarkStart w:id="24" w:name="_Toc16606"/>
      <w:r>
        <w:rPr>
          <w:rFonts w:hint="eastAsia" w:ascii="宋体" w:hAnsi="宋体" w:eastAsia="宋体" w:cs="宋体"/>
          <w:b/>
          <w:bCs/>
          <w:kern w:val="44"/>
          <w:szCs w:val="44"/>
        </w:rPr>
        <w:t>二、员工培训和教育</w:t>
      </w:r>
      <w:bookmarkEnd w:id="24"/>
    </w:p>
    <w:p>
      <w:pPr>
        <w:pStyle w:val="21"/>
        <w:adjustRightInd/>
        <w:snapToGrid/>
        <w:spacing w:after="0" w:line="360" w:lineRule="auto"/>
        <w:ind w:left="0" w:leftChars="0" w:firstLine="480"/>
        <w:rPr>
          <w:rFonts w:hint="eastAsia" w:ascii="宋体" w:hAnsi="宋体" w:eastAsia="宋体" w:cs="宋体"/>
        </w:rPr>
      </w:pPr>
      <w:r>
        <w:rPr>
          <w:rFonts w:hint="eastAsia" w:ascii="宋体" w:hAnsi="宋体" w:eastAsia="宋体" w:cs="宋体"/>
        </w:rPr>
        <w:t>公司本着“以人为本”的原则，以“一流的公司培养一流的员工，一流的员工创造一流的公司”为目标，通过请进来、走出去等培训方式，提高员工的思想教育和业务技能。</w:t>
      </w:r>
    </w:p>
    <w:p>
      <w:pPr>
        <w:pStyle w:val="21"/>
        <w:adjustRightInd/>
        <w:snapToGrid/>
        <w:spacing w:after="0" w:line="360" w:lineRule="auto"/>
        <w:ind w:left="0" w:leftChars="0" w:firstLine="480"/>
        <w:rPr>
          <w:rFonts w:hint="eastAsia" w:ascii="宋体" w:hAnsi="宋体" w:eastAsia="宋体" w:cs="宋体"/>
        </w:rPr>
      </w:pPr>
      <w:r>
        <w:rPr>
          <w:rFonts w:hint="eastAsia" w:ascii="宋体" w:hAnsi="宋体" w:eastAsia="宋体" w:cs="宋体"/>
        </w:rPr>
        <w:t>1、识别教育与培训需求并制定教育培训计划</w:t>
      </w:r>
    </w:p>
    <w:p>
      <w:pPr>
        <w:adjustRightInd/>
        <w:snapToGrid/>
        <w:spacing w:line="360" w:lineRule="auto"/>
        <w:ind w:firstLine="480"/>
        <w:rPr>
          <w:rFonts w:hint="eastAsia" w:ascii="宋体" w:hAnsi="宋体" w:eastAsia="宋体" w:cs="宋体"/>
        </w:rPr>
      </w:pPr>
      <w:r>
        <w:rPr>
          <w:rFonts w:hint="eastAsia" w:ascii="宋体" w:hAnsi="宋体" w:eastAsia="宋体" w:cs="宋体"/>
        </w:rPr>
        <w:t>公司通过发放《培训需求调查表》的方式进行培训调查，并在调查培训需求的基础上，结合公司发展规划与绩效差距，对各部门及其成员的知识、技能等方面进行分析，从而确定培训的必要性及培训的内容。办公室于每年年初制定公司当年的《年度培训计划》，明确培训目的、时间、地点、对象、内容、方式、费用预算、考核方式等具体要求，经相关部门负责人会签，董事长批准后实施。</w:t>
      </w:r>
    </w:p>
    <w:p>
      <w:pPr>
        <w:pStyle w:val="21"/>
        <w:adjustRightInd/>
        <w:snapToGrid/>
        <w:spacing w:after="0" w:line="360" w:lineRule="auto"/>
        <w:ind w:left="0" w:leftChars="0" w:firstLine="480"/>
        <w:rPr>
          <w:rFonts w:hint="eastAsia" w:ascii="宋体" w:hAnsi="宋体" w:eastAsia="宋体" w:cs="宋体"/>
        </w:rPr>
      </w:pPr>
      <w:r>
        <w:rPr>
          <w:rFonts w:hint="eastAsia" w:ascii="宋体" w:hAnsi="宋体" w:eastAsia="宋体" w:cs="宋体"/>
        </w:rPr>
        <w:t>2、积极提供教育培训实施</w:t>
      </w:r>
    </w:p>
    <w:p>
      <w:pPr>
        <w:pStyle w:val="21"/>
        <w:adjustRightInd/>
        <w:snapToGrid/>
        <w:spacing w:after="0" w:line="360" w:lineRule="auto"/>
        <w:ind w:left="0" w:leftChars="0" w:firstLine="480"/>
        <w:rPr>
          <w:rFonts w:hint="eastAsia" w:ascii="宋体" w:hAnsi="宋体" w:eastAsia="宋体" w:cs="宋体"/>
        </w:rPr>
      </w:pPr>
      <w:r>
        <w:rPr>
          <w:rFonts w:hint="eastAsia" w:ascii="宋体" w:hAnsi="宋体" w:eastAsia="宋体" w:cs="宋体"/>
        </w:rPr>
        <w:t>公司设有</w:t>
      </w:r>
      <w:r>
        <w:rPr>
          <w:rFonts w:hint="eastAsia" w:ascii="宋体" w:hAnsi="宋体" w:cs="宋体"/>
          <w:lang w:eastAsia="zh-CN"/>
        </w:rPr>
        <w:t>哥伦</w:t>
      </w:r>
      <w:r>
        <w:rPr>
          <w:rFonts w:hint="eastAsia" w:ascii="宋体" w:hAnsi="宋体" w:eastAsia="宋体" w:cs="宋体"/>
        </w:rPr>
        <w:t>大讲堂、员工培训中心，便于总经理给高层讲课、高层给中层讲课以及车间主任给员工讲课。20</w:t>
      </w:r>
      <w:r>
        <w:rPr>
          <w:rFonts w:hint="eastAsia" w:ascii="宋体" w:hAnsi="宋体" w:cs="宋体"/>
          <w:lang w:val="en-US" w:eastAsia="zh-CN"/>
        </w:rPr>
        <w:t>21</w:t>
      </w:r>
      <w:r>
        <w:rPr>
          <w:rFonts w:hint="eastAsia" w:ascii="宋体" w:hAnsi="宋体" w:eastAsia="宋体" w:cs="宋体"/>
        </w:rPr>
        <w:t>年，厂内培训累计达上</w:t>
      </w:r>
      <w:r>
        <w:rPr>
          <w:rFonts w:hint="eastAsia" w:ascii="宋体" w:hAnsi="宋体" w:eastAsia="宋体" w:cs="宋体"/>
          <w:lang w:val="en-US" w:eastAsia="zh-CN"/>
        </w:rPr>
        <w:t>几十</w:t>
      </w:r>
      <w:r>
        <w:rPr>
          <w:rFonts w:hint="eastAsia" w:ascii="宋体" w:hAnsi="宋体" w:eastAsia="宋体" w:cs="宋体"/>
        </w:rPr>
        <w:t>次，外派培训学习、技术交流</w:t>
      </w:r>
      <w:r>
        <w:rPr>
          <w:rFonts w:hint="eastAsia" w:ascii="宋体" w:hAnsi="宋体" w:eastAsia="宋体" w:cs="宋体"/>
          <w:lang w:val="en-US" w:eastAsia="zh-CN"/>
        </w:rPr>
        <w:t>2</w:t>
      </w:r>
      <w:r>
        <w:rPr>
          <w:rFonts w:hint="eastAsia" w:ascii="宋体" w:hAnsi="宋体" w:eastAsia="宋体" w:cs="宋体"/>
        </w:rPr>
        <w:t>0余次，旨在增强员工的整体素质和技术水平，并请专家来公司现场指导，实现理论和实践相结合，促进员工消化吸收。</w:t>
      </w:r>
    </w:p>
    <w:p>
      <w:pPr>
        <w:adjustRightInd/>
        <w:snapToGrid/>
        <w:spacing w:before="260" w:line="360" w:lineRule="auto"/>
        <w:ind w:firstLine="0" w:firstLineChars="0"/>
        <w:outlineLvl w:val="1"/>
        <w:rPr>
          <w:rFonts w:hint="eastAsia" w:ascii="宋体" w:hAnsi="宋体" w:eastAsia="宋体" w:cs="宋体"/>
          <w:b/>
          <w:bCs/>
          <w:kern w:val="44"/>
          <w:szCs w:val="44"/>
        </w:rPr>
      </w:pPr>
      <w:bookmarkStart w:id="25" w:name="_Toc400"/>
      <w:r>
        <w:rPr>
          <w:rFonts w:hint="eastAsia" w:ascii="宋体" w:hAnsi="宋体" w:eastAsia="宋体" w:cs="宋体"/>
          <w:b/>
          <w:bCs/>
          <w:kern w:val="44"/>
          <w:szCs w:val="44"/>
        </w:rPr>
        <w:t>三、全心全意关爱员工</w:t>
      </w:r>
      <w:bookmarkEnd w:id="25"/>
    </w:p>
    <w:p>
      <w:pPr>
        <w:pStyle w:val="21"/>
        <w:adjustRightInd/>
        <w:snapToGrid/>
        <w:spacing w:after="0" w:line="360" w:lineRule="auto"/>
        <w:ind w:left="0" w:leftChars="0" w:firstLine="480"/>
        <w:rPr>
          <w:rFonts w:hint="eastAsia" w:ascii="宋体" w:hAnsi="宋体" w:eastAsia="宋体" w:cs="宋体"/>
        </w:rPr>
      </w:pPr>
      <w:r>
        <w:rPr>
          <w:rFonts w:hint="eastAsia" w:ascii="宋体" w:hAnsi="宋体" w:eastAsia="宋体" w:cs="宋体"/>
        </w:rPr>
        <w:t>公司坚持以人为本的发展理念，认真落实国家政策，与职工签订劳动合同率达到100%，并为所有职工办理五险，参保率100%。公司有职工食堂，实行餐补制度，为外地员工及其家属免费提供设施齐全的员工宿舍，还为职工提供图书阅览室、健身房、篮球场等文体活动场所。三八”妇女节，节日礼物、特殊工作岗位免费给员健康体检，带薪年假、对优秀员工奖励礼品等。公司还对全员职工过生日时送蛋糕卷，对春节回家的员工交通工具，实行来回补助。</w:t>
      </w:r>
    </w:p>
    <w:p>
      <w:pPr>
        <w:pStyle w:val="21"/>
        <w:adjustRightInd/>
        <w:snapToGrid/>
        <w:spacing w:after="0" w:line="360" w:lineRule="auto"/>
        <w:ind w:left="0" w:leftChars="0" w:firstLine="480"/>
        <w:rPr>
          <w:rFonts w:hint="eastAsia" w:ascii="宋体" w:hAnsi="宋体" w:eastAsia="宋体" w:cs="宋体"/>
        </w:rPr>
      </w:pPr>
      <w:r>
        <w:rPr>
          <w:rFonts w:hint="eastAsia" w:ascii="宋体" w:hAnsi="宋体" w:eastAsia="宋体" w:cs="宋体"/>
        </w:rPr>
        <w:t>另外，公司积极倾听员工的心声，解决员工工作和生活中的实际问题和困难。董事长特意设置了热线电话和信箱，及时倾听广大员工的心声，了解员工支持和保障措施的效果，进一步解决员工工作和生活中的实际问题和困难；对于具名的员工申诉，公司开通了畅通的员工申诉管理通道。无论是建议还是意见，对于各级人员的信息都进行详细的反馈，让员工了解到公司关注员工的想法，公司重视员工的想法。公司每年进行员工满意度调查和统计，结合员工流失率、抱怨率、缺勤率、生产效率等指标，评价、分析找出改进的机会，由</w:t>
      </w:r>
      <w:r>
        <w:rPr>
          <w:rFonts w:hint="eastAsia" w:ascii="宋体" w:hAnsi="宋体" w:cs="宋体"/>
          <w:lang w:val="en-US" w:eastAsia="zh-CN"/>
        </w:rPr>
        <w:t>行政部</w:t>
      </w:r>
      <w:r>
        <w:rPr>
          <w:rFonts w:hint="eastAsia" w:ascii="宋体" w:hAnsi="宋体" w:eastAsia="宋体" w:cs="宋体"/>
        </w:rPr>
        <w:t>制定改善员工满意度的措施和方案，工会组织和全体员工进行监督检查，以此积极维护员工权益，不断提高员工的满意度和工作积极性。从2019年调查结果看来，员工满意度较高。</w:t>
      </w:r>
    </w:p>
    <w:p>
      <w:pPr>
        <w:adjustRightInd/>
        <w:snapToGrid/>
        <w:spacing w:before="260" w:line="360" w:lineRule="auto"/>
        <w:ind w:firstLine="0" w:firstLineChars="0"/>
        <w:outlineLvl w:val="1"/>
        <w:rPr>
          <w:rFonts w:hint="eastAsia" w:ascii="宋体" w:hAnsi="宋体" w:eastAsia="宋体" w:cs="宋体"/>
          <w:b/>
          <w:bCs/>
          <w:kern w:val="44"/>
          <w:szCs w:val="44"/>
        </w:rPr>
      </w:pPr>
      <w:bookmarkStart w:id="26" w:name="_Toc4"/>
      <w:r>
        <w:rPr>
          <w:rFonts w:hint="eastAsia" w:ascii="宋体" w:hAnsi="宋体" w:eastAsia="宋体" w:cs="宋体"/>
          <w:b/>
          <w:bCs/>
          <w:kern w:val="44"/>
          <w:szCs w:val="44"/>
        </w:rPr>
        <w:t>四、丰富员工业余生活</w:t>
      </w:r>
      <w:bookmarkEnd w:id="26"/>
    </w:p>
    <w:p>
      <w:pPr>
        <w:pStyle w:val="21"/>
        <w:adjustRightInd/>
        <w:snapToGrid/>
        <w:spacing w:after="0" w:line="360" w:lineRule="auto"/>
        <w:ind w:left="0" w:leftChars="0" w:firstLine="480"/>
        <w:rPr>
          <w:rFonts w:hint="eastAsia" w:ascii="宋体" w:hAnsi="宋体" w:eastAsia="宋体" w:cs="宋体"/>
        </w:rPr>
      </w:pPr>
      <w:r>
        <w:rPr>
          <w:rFonts w:hint="eastAsia" w:ascii="宋体" w:hAnsi="宋体" w:eastAsia="宋体" w:cs="宋体"/>
        </w:rPr>
        <w:t>为丰富员工业余生活，增强企业文化的感召力和员工队伍的凝聚力，在</w:t>
      </w:r>
      <w:r>
        <w:rPr>
          <w:rFonts w:hint="eastAsia" w:ascii="宋体" w:hAnsi="宋体" w:eastAsia="宋体" w:cs="宋体"/>
          <w:lang w:val="en-US" w:eastAsia="zh-CN"/>
        </w:rPr>
        <w:t>行政部</w:t>
      </w:r>
      <w:r>
        <w:rPr>
          <w:rFonts w:hint="eastAsia" w:ascii="宋体" w:hAnsi="宋体" w:eastAsia="宋体" w:cs="宋体"/>
        </w:rPr>
        <w:t>的带领下，组织各类活动，如团队聚餐、旅游、党建活动</w:t>
      </w:r>
      <w:r>
        <w:rPr>
          <w:rFonts w:hint="eastAsia" w:ascii="宋体" w:hAnsi="宋体" w:eastAsia="宋体" w:cs="宋体"/>
          <w:lang w:eastAsia="zh-CN"/>
        </w:rPr>
        <w:t>、</w:t>
      </w:r>
      <w:r>
        <w:rPr>
          <w:rFonts w:hint="eastAsia" w:ascii="宋体" w:hAnsi="宋体" w:eastAsia="宋体" w:cs="宋体"/>
          <w:lang w:val="en-US" w:eastAsia="zh-CN"/>
        </w:rPr>
        <w:t>拓展</w:t>
      </w:r>
      <w:r>
        <w:rPr>
          <w:rFonts w:hint="eastAsia" w:ascii="宋体" w:hAnsi="宋体" w:eastAsia="宋体" w:cs="宋体"/>
        </w:rPr>
        <w:t xml:space="preserve">等。 </w:t>
      </w:r>
    </w:p>
    <w:p>
      <w:pPr>
        <w:pStyle w:val="49"/>
        <w:spacing w:before="180" w:line="360" w:lineRule="auto"/>
        <w:ind w:firstLine="0" w:firstLineChars="0"/>
        <w:jc w:val="left"/>
        <w:rPr>
          <w:rFonts w:hint="eastAsia" w:ascii="宋体" w:hAnsi="宋体" w:eastAsia="宋体" w:cs="宋体"/>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"http://www.gret.cn/static/uploads/201911/1573458930621883.jpg"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723765" cy="3369310"/>
            <wp:effectExtent l="0" t="0" r="635" b="2540"/>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13"/>
                    <a:srcRect l="51167" b="1518"/>
                    <a:stretch>
                      <a:fillRect/>
                    </a:stretch>
                  </pic:blipFill>
                  <pic:spPr>
                    <a:xfrm>
                      <a:off x="0" y="0"/>
                      <a:ext cx="4723765" cy="3369310"/>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"http://www.gret.cn/static/uploads/201901/1547452138877838.jpg"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742815" cy="3447415"/>
            <wp:effectExtent l="0" t="0" r="635" b="635"/>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14"/>
                    <a:stretch>
                      <a:fillRect/>
                    </a:stretch>
                  </pic:blipFill>
                  <pic:spPr>
                    <a:xfrm>
                      <a:off x="0" y="0"/>
                      <a:ext cx="4742815" cy="3447415"/>
                    </a:xfrm>
                    <a:prstGeom prst="rect">
                      <a:avLst/>
                    </a:prstGeom>
                    <a:noFill/>
                    <a:ln>
                      <a:noFill/>
                    </a:ln>
                  </pic:spPr>
                </pic:pic>
              </a:graphicData>
            </a:graphic>
          </wp:inline>
        </w:drawing>
      </w:r>
      <w:r>
        <w:rPr>
          <w:rFonts w:ascii="宋体" w:hAnsi="宋体" w:eastAsia="宋体" w:cs="宋体"/>
          <w:sz w:val="24"/>
          <w:szCs w:val="24"/>
        </w:rPr>
        <w:fldChar w:fldCharType="end"/>
      </w:r>
    </w:p>
    <w:p>
      <w:pPr>
        <w:pStyle w:val="21"/>
        <w:spacing w:line="360" w:lineRule="auto"/>
        <w:ind w:left="0" w:leftChars="0" w:firstLine="0" w:firstLineChars="0"/>
        <w:rPr>
          <w:rFonts w:hint="eastAsia" w:ascii="宋体" w:hAnsi="宋体" w:eastAsia="宋体" w:cs="宋体"/>
        </w:rPr>
      </w:pPr>
    </w:p>
    <w:p>
      <w:pPr>
        <w:pStyle w:val="21"/>
        <w:spacing w:line="360" w:lineRule="auto"/>
        <w:ind w:left="0" w:leftChars="0" w:firstLine="0" w:firstLineChars="0"/>
        <w:rPr>
          <w:rFonts w:hint="eastAsia" w:ascii="宋体" w:hAnsi="宋体" w:eastAsia="宋体" w:cs="宋体"/>
        </w:rPr>
      </w:pPr>
    </w:p>
    <w:p>
      <w:pPr>
        <w:pStyle w:val="21"/>
        <w:spacing w:line="360" w:lineRule="auto"/>
        <w:ind w:left="0" w:leftChars="0" w:firstLine="0" w:firstLineChars="0"/>
        <w:rPr>
          <w:rFonts w:hint="eastAsia" w:ascii="宋体" w:hAnsi="宋体" w:eastAsia="宋体" w:cs="宋体"/>
        </w:rPr>
      </w:pPr>
    </w:p>
    <w:p>
      <w:pPr>
        <w:keepNext w:val="0"/>
        <w:keepLines w:val="0"/>
        <w:widowControl/>
        <w:suppressLineNumbers w:val="0"/>
        <w:jc w:val="left"/>
      </w:pPr>
    </w:p>
    <w:p>
      <w:pPr>
        <w:pStyle w:val="3"/>
        <w:jc w:val="center"/>
        <w:rPr>
          <w:rFonts w:hint="eastAsia" w:ascii="宋体" w:hAnsi="宋体" w:eastAsia="宋体" w:cs="宋体"/>
          <w:sz w:val="30"/>
          <w:szCs w:val="30"/>
        </w:rPr>
      </w:pPr>
      <w:bookmarkStart w:id="27" w:name="_Toc9340"/>
      <w:r>
        <w:rPr>
          <w:rFonts w:hint="eastAsia" w:ascii="宋体" w:hAnsi="宋体" w:eastAsia="宋体" w:cs="宋体"/>
          <w:sz w:val="30"/>
          <w:szCs w:val="30"/>
        </w:rPr>
        <w:t>第五章  社会公益</w:t>
      </w:r>
      <w:bookmarkEnd w:id="27"/>
    </w:p>
    <w:p>
      <w:pPr>
        <w:adjustRightInd/>
        <w:snapToGrid/>
        <w:spacing w:before="260" w:line="360" w:lineRule="auto"/>
        <w:ind w:firstLine="0" w:firstLineChars="0"/>
        <w:outlineLvl w:val="1"/>
        <w:rPr>
          <w:rFonts w:hint="eastAsia" w:ascii="宋体" w:hAnsi="宋体" w:eastAsia="宋体" w:cs="宋体"/>
          <w:b/>
          <w:bCs/>
          <w:kern w:val="44"/>
          <w:szCs w:val="44"/>
        </w:rPr>
      </w:pPr>
      <w:bookmarkStart w:id="28" w:name="_Toc29514"/>
      <w:r>
        <w:rPr>
          <w:rFonts w:hint="eastAsia" w:ascii="宋体" w:hAnsi="宋体" w:eastAsia="宋体" w:cs="宋体"/>
          <w:b/>
          <w:bCs/>
          <w:kern w:val="44"/>
          <w:szCs w:val="44"/>
        </w:rPr>
        <w:t>一、合法经营，依法纳税</w:t>
      </w:r>
      <w:bookmarkEnd w:id="28"/>
    </w:p>
    <w:p>
      <w:pPr>
        <w:adjustRightInd/>
        <w:snapToGrid/>
        <w:spacing w:line="360" w:lineRule="auto"/>
        <w:ind w:firstLine="482"/>
        <w:rPr>
          <w:rFonts w:hint="eastAsia" w:ascii="宋体" w:hAnsi="宋体" w:eastAsia="宋体" w:cs="宋体"/>
          <w:b/>
          <w:szCs w:val="24"/>
        </w:rPr>
      </w:pPr>
      <w:r>
        <w:rPr>
          <w:rFonts w:hint="eastAsia" w:ascii="宋体" w:hAnsi="宋体" w:eastAsia="宋体" w:cs="宋体"/>
          <w:b/>
          <w:szCs w:val="24"/>
        </w:rPr>
        <w:t>1、组织管理责任</w:t>
      </w:r>
    </w:p>
    <w:p>
      <w:pPr>
        <w:adjustRightInd/>
        <w:snapToGrid/>
        <w:spacing w:line="360" w:lineRule="auto"/>
        <w:ind w:firstLine="480"/>
        <w:rPr>
          <w:rFonts w:hint="eastAsia" w:ascii="宋体" w:hAnsi="宋体" w:eastAsia="宋体" w:cs="宋体"/>
        </w:rPr>
      </w:pPr>
      <w:r>
        <w:rPr>
          <w:rFonts w:hint="eastAsia" w:ascii="宋体" w:hAnsi="宋体" w:cs="宋体"/>
          <w:lang w:eastAsia="zh-CN"/>
        </w:rPr>
        <w:t>哥伦</w:t>
      </w:r>
      <w:r>
        <w:rPr>
          <w:rFonts w:hint="eastAsia" w:ascii="宋体" w:hAnsi="宋体" w:eastAsia="宋体" w:cs="宋体"/>
        </w:rPr>
        <w:t>按照《公司法》明确了董事会是公司的权利机构。公司明确规定了董事会、管理层等各级权力机构的审批权限，实行岗位责任制，明确了组织行为的管理者责任、财务责任，确保内外部审计的独立性。</w:t>
      </w:r>
    </w:p>
    <w:p>
      <w:pPr>
        <w:adjustRightInd/>
        <w:snapToGrid/>
        <w:spacing w:line="360" w:lineRule="auto"/>
        <w:ind w:firstLine="480"/>
        <w:rPr>
          <w:rFonts w:hint="eastAsia" w:ascii="宋体" w:hAnsi="宋体" w:eastAsia="宋体" w:cs="宋体"/>
        </w:rPr>
      </w:pPr>
      <w:r>
        <w:rPr>
          <w:rFonts w:hint="eastAsia" w:ascii="宋体" w:hAnsi="宋体" w:eastAsia="宋体" w:cs="宋体"/>
        </w:rPr>
        <w:t>为保护股东和受益者利益，</w:t>
      </w:r>
      <w:r>
        <w:rPr>
          <w:rFonts w:hint="eastAsia" w:ascii="宋体" w:hAnsi="宋体" w:cs="宋体"/>
          <w:lang w:eastAsia="zh-CN"/>
        </w:rPr>
        <w:t>哥伦</w:t>
      </w:r>
      <w:r>
        <w:rPr>
          <w:rFonts w:hint="eastAsia" w:ascii="宋体" w:hAnsi="宋体" w:eastAsia="宋体" w:cs="宋体"/>
        </w:rPr>
        <w:t>由董事会负责对公司高级管理人员职权行使、重大投资、财务收资和经济活动等组织行为进行监督、审计，保证公司活动的合法性、规范性、有效性。</w:t>
      </w:r>
    </w:p>
    <w:p>
      <w:pPr>
        <w:adjustRightInd/>
        <w:snapToGrid/>
        <w:spacing w:line="360" w:lineRule="auto"/>
        <w:ind w:firstLine="482"/>
        <w:rPr>
          <w:rFonts w:hint="eastAsia" w:ascii="宋体" w:hAnsi="宋体" w:eastAsia="宋体" w:cs="宋体"/>
          <w:b/>
          <w:szCs w:val="24"/>
        </w:rPr>
      </w:pPr>
      <w:r>
        <w:rPr>
          <w:rFonts w:hint="eastAsia" w:ascii="宋体" w:hAnsi="宋体" w:eastAsia="宋体" w:cs="宋体"/>
          <w:b/>
          <w:szCs w:val="24"/>
        </w:rPr>
        <w:t>2、落实财务责任，确保资产保值增值</w:t>
      </w:r>
    </w:p>
    <w:p>
      <w:pPr>
        <w:adjustRightInd/>
        <w:snapToGrid/>
        <w:spacing w:line="360" w:lineRule="auto"/>
        <w:ind w:firstLine="480"/>
        <w:rPr>
          <w:rFonts w:hint="eastAsia" w:ascii="宋体" w:hAnsi="宋体" w:eastAsia="宋体" w:cs="宋体"/>
        </w:rPr>
      </w:pPr>
      <w:r>
        <w:rPr>
          <w:rFonts w:hint="eastAsia" w:ascii="宋体" w:hAnsi="宋体" w:eastAsia="宋体" w:cs="宋体"/>
        </w:rPr>
        <w:t>公司依据国家会计准则以及相关法律法规要求，建立相关管理制度。公司按照董事会要求建立了全面的财务报表体系，按月编制和上报各类财务会计报表。对公司重大投资决策和经营活动进行财务分析，规避公司经营风险。</w:t>
      </w:r>
    </w:p>
    <w:p>
      <w:pPr>
        <w:adjustRightInd/>
        <w:snapToGrid/>
        <w:spacing w:line="360" w:lineRule="auto"/>
        <w:ind w:firstLine="480"/>
        <w:rPr>
          <w:rFonts w:hint="eastAsia" w:ascii="宋体" w:hAnsi="宋体" w:eastAsia="宋体" w:cs="宋体"/>
        </w:rPr>
      </w:pPr>
      <w:r>
        <w:rPr>
          <w:rFonts w:hint="eastAsia" w:ascii="宋体" w:hAnsi="宋体" w:eastAsia="宋体" w:cs="宋体"/>
        </w:rPr>
        <w:t>根据公司相关财务管理制度，公司完善内控制度，强化内部制约制度，所有业务均须由经办人注明事由，部门负责人审核和董事长审批，以确认其真实性和合法性，财务部严格把关。公司各类费用支出严格按规定权限进行审批。对重大项目建设资金支出，按项目实施计划和工程进度，由项目执行负责人审核，董事长签署确认意见，财务部门严格把关。</w:t>
      </w:r>
    </w:p>
    <w:p>
      <w:pPr>
        <w:adjustRightInd/>
        <w:snapToGrid/>
        <w:spacing w:line="360" w:lineRule="auto"/>
        <w:ind w:firstLine="482"/>
        <w:rPr>
          <w:rFonts w:hint="eastAsia" w:ascii="宋体" w:hAnsi="宋体" w:eastAsia="宋体" w:cs="宋体"/>
          <w:b/>
          <w:szCs w:val="24"/>
        </w:rPr>
      </w:pPr>
      <w:r>
        <w:rPr>
          <w:rFonts w:hint="eastAsia" w:ascii="宋体" w:hAnsi="宋体" w:eastAsia="宋体" w:cs="宋体"/>
          <w:b/>
          <w:szCs w:val="24"/>
        </w:rPr>
        <w:t>3、经营管理的透明性及信息披露政策</w:t>
      </w:r>
    </w:p>
    <w:p>
      <w:pPr>
        <w:adjustRightInd/>
        <w:snapToGrid/>
        <w:spacing w:line="360" w:lineRule="auto"/>
        <w:ind w:firstLine="480"/>
        <w:rPr>
          <w:rFonts w:hint="eastAsia" w:ascii="宋体" w:hAnsi="宋体" w:eastAsia="宋体" w:cs="宋体"/>
          <w:szCs w:val="24"/>
        </w:rPr>
      </w:pPr>
      <w:r>
        <w:rPr>
          <w:rFonts w:hint="eastAsia" w:ascii="宋体" w:hAnsi="宋体" w:eastAsia="宋体" w:cs="宋体"/>
        </w:rPr>
        <w:t>公司能够严格按照《公司法》等有关规定，法律、法规和规范性文件的要求，自觉履行</w:t>
      </w:r>
      <w:r>
        <w:rPr>
          <w:rFonts w:hint="eastAsia" w:ascii="宋体" w:hAnsi="宋体" w:eastAsia="宋体" w:cs="宋体"/>
          <w:bCs/>
        </w:rPr>
        <w:t>经营管理的透明性和</w:t>
      </w:r>
      <w:r>
        <w:rPr>
          <w:rFonts w:hint="eastAsia" w:ascii="宋体" w:hAnsi="宋体" w:eastAsia="宋体" w:cs="宋体"/>
        </w:rPr>
        <w:t>信息披露的义务</w:t>
      </w:r>
      <w:r>
        <w:rPr>
          <w:rStyle w:val="45"/>
          <w:rFonts w:hint="eastAsia" w:ascii="宋体" w:hAnsi="宋体" w:eastAsia="宋体" w:cs="宋体"/>
          <w:color w:val="auto"/>
          <w:sz w:val="24"/>
        </w:rPr>
        <w:t>。</w:t>
      </w:r>
    </w:p>
    <w:p>
      <w:pPr>
        <w:adjustRightInd/>
        <w:snapToGrid/>
        <w:spacing w:line="360" w:lineRule="auto"/>
        <w:ind w:firstLine="480"/>
        <w:rPr>
          <w:rFonts w:hint="eastAsia" w:ascii="宋体" w:hAnsi="宋体" w:eastAsia="宋体" w:cs="宋体"/>
          <w:szCs w:val="24"/>
        </w:rPr>
      </w:pPr>
      <w:r>
        <w:rPr>
          <w:rFonts w:hint="eastAsia" w:ascii="宋体" w:hAnsi="宋体" w:eastAsia="宋体" w:cs="宋体"/>
          <w:szCs w:val="24"/>
        </w:rPr>
        <w:t>公司领导强调内部经营公平、公开，实现透明化管理。经公司高层研讨的内部经营管理决策会以经营会、部门例会等形式告知员工；对外，公司通过网站将披露的公司政策和经营成果告知相关方，并将每年度产值和销售收入及时、准备的上报区统计局。</w:t>
      </w:r>
    </w:p>
    <w:p>
      <w:pPr>
        <w:adjustRightInd/>
        <w:snapToGrid/>
        <w:spacing w:line="360" w:lineRule="auto"/>
        <w:ind w:firstLine="480"/>
        <w:rPr>
          <w:rFonts w:hint="eastAsia" w:ascii="宋体" w:hAnsi="宋体" w:eastAsia="宋体" w:cs="宋体"/>
        </w:rPr>
      </w:pPr>
      <w:r>
        <w:rPr>
          <w:rFonts w:hint="eastAsia" w:ascii="宋体" w:hAnsi="宋体" w:eastAsia="宋体" w:cs="宋体"/>
        </w:rPr>
        <w:t xml:space="preserve">职工代表大会制度：凡是与员工切身利益有关的制度，都需提交职代会审议通过才能执行； </w:t>
      </w:r>
    </w:p>
    <w:p>
      <w:pPr>
        <w:adjustRightInd/>
        <w:snapToGrid/>
        <w:spacing w:line="360" w:lineRule="auto"/>
        <w:ind w:firstLine="480"/>
        <w:rPr>
          <w:rFonts w:hint="eastAsia" w:ascii="宋体" w:hAnsi="宋体" w:eastAsia="宋体" w:cs="宋体"/>
        </w:rPr>
      </w:pPr>
      <w:r>
        <w:rPr>
          <w:rFonts w:hint="eastAsia" w:ascii="宋体" w:hAnsi="宋体" w:eastAsia="宋体" w:cs="宋体"/>
        </w:rPr>
        <w:t>厂务公开制度：实行厂务公开，建立广泛的信息沟通渠道，让员工及时了解企业的战略发展与经营决策信息。</w:t>
      </w:r>
    </w:p>
    <w:p>
      <w:pPr>
        <w:adjustRightInd/>
        <w:snapToGrid/>
        <w:spacing w:line="360" w:lineRule="auto"/>
        <w:ind w:firstLine="480"/>
        <w:rPr>
          <w:rFonts w:hint="eastAsia" w:ascii="宋体" w:hAnsi="宋体" w:eastAsia="宋体" w:cs="宋体"/>
          <w:szCs w:val="24"/>
        </w:rPr>
      </w:pPr>
      <w:r>
        <w:rPr>
          <w:rFonts w:hint="eastAsia" w:ascii="宋体" w:hAnsi="宋体" w:eastAsia="宋体" w:cs="宋体"/>
        </w:rPr>
        <w:t>党员民主听证制度：通过党员、党组织参与事关企业发展、事关职工利益等重大的决策，进一步实现企业决策的民主化和科学化，为企业的发展提供强大的动力。</w:t>
      </w:r>
    </w:p>
    <w:p>
      <w:pPr>
        <w:adjustRightInd/>
        <w:snapToGrid/>
        <w:spacing w:line="360" w:lineRule="auto"/>
        <w:ind w:firstLine="482"/>
        <w:rPr>
          <w:rFonts w:hint="eastAsia" w:ascii="宋体" w:hAnsi="宋体" w:eastAsia="宋体" w:cs="宋体"/>
          <w:b/>
          <w:szCs w:val="24"/>
        </w:rPr>
      </w:pPr>
      <w:bookmarkStart w:id="29" w:name="_Toc285542874"/>
      <w:r>
        <w:rPr>
          <w:rFonts w:hint="eastAsia" w:ascii="宋体" w:hAnsi="宋体" w:eastAsia="宋体" w:cs="宋体"/>
          <w:b/>
          <w:szCs w:val="24"/>
        </w:rPr>
        <w:t>4、内、外部审计的独立性</w:t>
      </w:r>
      <w:bookmarkEnd w:id="29"/>
    </w:p>
    <w:p>
      <w:pPr>
        <w:adjustRightInd/>
        <w:snapToGrid/>
        <w:spacing w:line="360" w:lineRule="auto"/>
        <w:ind w:firstLine="480"/>
        <w:rPr>
          <w:rFonts w:hint="eastAsia" w:ascii="宋体" w:hAnsi="宋体" w:eastAsia="宋体" w:cs="宋体"/>
        </w:rPr>
      </w:pPr>
      <w:r>
        <w:rPr>
          <w:rFonts w:hint="eastAsia" w:ascii="宋体" w:hAnsi="宋体" w:eastAsia="宋体" w:cs="宋体"/>
        </w:rPr>
        <w:t>公司聘请专业机构进行外部审计并出具审计报告，以保证公司的会计报表符合国家的《企业会计准则》和《企业会计制度》，公允地反映公司的财务状况，经营成果和现金流量。</w:t>
      </w:r>
    </w:p>
    <w:p>
      <w:pPr>
        <w:adjustRightInd/>
        <w:snapToGrid/>
        <w:spacing w:line="360" w:lineRule="auto"/>
        <w:ind w:firstLine="480"/>
        <w:rPr>
          <w:rFonts w:hint="eastAsia" w:ascii="宋体" w:hAnsi="宋体" w:eastAsia="宋体" w:cs="宋体"/>
        </w:rPr>
      </w:pPr>
      <w:r>
        <w:rPr>
          <w:rFonts w:hint="eastAsia" w:ascii="宋体" w:hAnsi="宋体" w:eastAsia="宋体" w:cs="宋体"/>
        </w:rPr>
        <w:t>公司在内部审计上设立了内审考核小组，负责对公司各高级管理人员职权行使、重大投资、财务收资和经济活动等组织行为进行监督、审计。</w:t>
      </w:r>
    </w:p>
    <w:p>
      <w:pPr>
        <w:adjustRightInd/>
        <w:snapToGrid/>
        <w:spacing w:line="360" w:lineRule="auto"/>
        <w:ind w:firstLine="482"/>
        <w:rPr>
          <w:rFonts w:hint="eastAsia" w:ascii="宋体" w:hAnsi="宋体" w:eastAsia="宋体" w:cs="宋体"/>
          <w:b/>
          <w:szCs w:val="24"/>
        </w:rPr>
      </w:pPr>
      <w:bookmarkStart w:id="30" w:name="_Toc285542875"/>
      <w:r>
        <w:rPr>
          <w:rFonts w:hint="eastAsia" w:ascii="宋体" w:hAnsi="宋体" w:eastAsia="宋体" w:cs="宋体"/>
          <w:b/>
          <w:szCs w:val="24"/>
        </w:rPr>
        <w:t>5、股东及其他相关方利益的保护</w:t>
      </w:r>
      <w:bookmarkEnd w:id="30"/>
    </w:p>
    <w:p>
      <w:pPr>
        <w:adjustRightInd/>
        <w:snapToGrid/>
        <w:spacing w:line="360" w:lineRule="auto"/>
        <w:ind w:firstLine="480"/>
        <w:rPr>
          <w:rFonts w:hint="eastAsia" w:ascii="宋体" w:hAnsi="宋体" w:eastAsia="宋体" w:cs="宋体"/>
        </w:rPr>
      </w:pPr>
      <w:r>
        <w:rPr>
          <w:rFonts w:hint="eastAsia" w:ascii="宋体" w:hAnsi="宋体" w:eastAsia="宋体" w:cs="宋体"/>
        </w:rPr>
        <w:t>A.股东利益的保护</w:t>
      </w:r>
    </w:p>
    <w:p>
      <w:pPr>
        <w:adjustRightInd/>
        <w:snapToGrid/>
        <w:spacing w:line="360" w:lineRule="auto"/>
        <w:ind w:firstLine="480"/>
        <w:rPr>
          <w:rFonts w:hint="eastAsia" w:ascii="宋体" w:hAnsi="宋体" w:eastAsia="宋体" w:cs="宋体"/>
          <w:szCs w:val="24"/>
        </w:rPr>
      </w:pPr>
      <w:r>
        <w:rPr>
          <w:rFonts w:hint="eastAsia" w:ascii="宋体" w:hAnsi="宋体" w:eastAsia="宋体" w:cs="宋体"/>
        </w:rPr>
        <w:t>为有效保护股东利益，由董事会负责对公司各高级管理人员职权行使、重大投资、财务收资和经济活动等组织行为进行监督、审计，保证公司活动的合法性、规范性、有效性。同时专门制定了《公司章程》、《股东会议事规则》、《董事会议事规则》等制度，充分确保公司股东利益得到保护</w:t>
      </w:r>
      <w:r>
        <w:rPr>
          <w:rFonts w:hint="eastAsia" w:ascii="宋体" w:hAnsi="宋体" w:eastAsia="宋体" w:cs="宋体"/>
          <w:szCs w:val="24"/>
        </w:rPr>
        <w:t>。</w:t>
      </w:r>
    </w:p>
    <w:p>
      <w:pPr>
        <w:adjustRightInd/>
        <w:snapToGrid/>
        <w:spacing w:line="360" w:lineRule="auto"/>
        <w:ind w:firstLine="480"/>
        <w:rPr>
          <w:rFonts w:hint="eastAsia" w:ascii="宋体" w:hAnsi="宋体" w:eastAsia="宋体" w:cs="宋体"/>
        </w:rPr>
      </w:pPr>
      <w:r>
        <w:rPr>
          <w:rFonts w:hint="eastAsia" w:ascii="宋体" w:hAnsi="宋体" w:eastAsia="宋体" w:cs="宋体"/>
        </w:rPr>
        <w:t>B.其他相关方利益的保护</w:t>
      </w:r>
    </w:p>
    <w:p>
      <w:pPr>
        <w:adjustRightInd/>
        <w:snapToGrid/>
        <w:spacing w:line="360" w:lineRule="auto"/>
        <w:ind w:firstLine="480"/>
        <w:rPr>
          <w:rFonts w:hint="eastAsia" w:ascii="宋体" w:hAnsi="宋体" w:eastAsia="宋体" w:cs="宋体"/>
        </w:rPr>
      </w:pPr>
      <w:r>
        <w:rPr>
          <w:rFonts w:hint="eastAsia" w:ascii="宋体" w:hAnsi="宋体" w:eastAsia="宋体" w:cs="宋体"/>
        </w:rPr>
        <w:t>公司本着“诚信、共赢”的精神，和供应商、客户等相关方进行友好协商合作，严格履行合同。</w:t>
      </w:r>
    </w:p>
    <w:p>
      <w:pPr>
        <w:adjustRightInd/>
        <w:snapToGrid/>
        <w:spacing w:line="360" w:lineRule="auto"/>
        <w:ind w:firstLine="480"/>
        <w:rPr>
          <w:rFonts w:hint="eastAsia" w:ascii="宋体" w:hAnsi="宋体" w:eastAsia="宋体" w:cs="宋体"/>
        </w:rPr>
      </w:pPr>
      <w:r>
        <w:rPr>
          <w:rFonts w:hint="eastAsia" w:ascii="宋体" w:hAnsi="宋体" w:eastAsia="宋体" w:cs="宋体"/>
        </w:rPr>
        <w:t>公司注重保护员工权益，发挥工会的作用，支持工会维护员工合法权益，妥善处理内部员工各类投诉事项。</w:t>
      </w:r>
    </w:p>
    <w:p>
      <w:pPr>
        <w:adjustRightInd/>
        <w:snapToGrid/>
        <w:spacing w:line="360" w:lineRule="auto"/>
        <w:ind w:firstLine="480"/>
        <w:rPr>
          <w:rFonts w:hint="eastAsia" w:ascii="宋体" w:hAnsi="宋体" w:eastAsia="宋体" w:cs="宋体"/>
        </w:rPr>
      </w:pPr>
      <w:r>
        <w:rPr>
          <w:rFonts w:hint="eastAsia" w:ascii="宋体" w:hAnsi="宋体" w:eastAsia="宋体" w:cs="宋体"/>
        </w:rPr>
        <w:t>公司把依法纳税、环境保护、安全生产等社会责任项目都纳入公司年度目标，责任到人。</w:t>
      </w:r>
    </w:p>
    <w:p>
      <w:pPr>
        <w:adjustRightInd/>
        <w:snapToGrid/>
        <w:spacing w:before="260" w:line="360" w:lineRule="auto"/>
        <w:ind w:firstLine="0" w:firstLineChars="0"/>
        <w:outlineLvl w:val="1"/>
        <w:rPr>
          <w:rFonts w:hint="eastAsia" w:ascii="宋体" w:hAnsi="宋体" w:eastAsia="宋体" w:cs="宋体"/>
          <w:b/>
          <w:bCs/>
          <w:kern w:val="44"/>
          <w:szCs w:val="44"/>
        </w:rPr>
      </w:pPr>
      <w:bookmarkStart w:id="31" w:name="_Toc16173"/>
      <w:r>
        <w:rPr>
          <w:rFonts w:hint="eastAsia" w:ascii="宋体" w:hAnsi="宋体" w:eastAsia="宋体" w:cs="宋体"/>
          <w:b/>
          <w:bCs/>
          <w:kern w:val="44"/>
          <w:szCs w:val="44"/>
        </w:rPr>
        <w:t>二、履行社会责任</w:t>
      </w:r>
      <w:bookmarkEnd w:id="31"/>
    </w:p>
    <w:p>
      <w:pPr>
        <w:adjustRightInd/>
        <w:snapToGrid/>
        <w:spacing w:line="360" w:lineRule="auto"/>
        <w:ind w:firstLine="0" w:firstLineChars="0"/>
        <w:rPr>
          <w:rFonts w:hint="eastAsia" w:ascii="宋体" w:hAnsi="宋体" w:eastAsia="宋体" w:cs="宋体"/>
          <w:b/>
          <w:szCs w:val="24"/>
        </w:rPr>
      </w:pPr>
      <w:r>
        <w:rPr>
          <w:rFonts w:hint="eastAsia" w:ascii="宋体" w:hAnsi="宋体" w:eastAsia="宋体" w:cs="宋体"/>
          <w:b/>
          <w:szCs w:val="24"/>
        </w:rPr>
        <w:t>1、社会公益和志愿者服务活动开展情况</w:t>
      </w:r>
    </w:p>
    <w:p>
      <w:pPr>
        <w:pStyle w:val="49"/>
        <w:pageBreakBefore w:val="0"/>
        <w:kinsoku/>
        <w:wordWrap/>
        <w:overflowPunct/>
        <w:topLinePunct w:val="0"/>
        <w:autoSpaceDE/>
        <w:autoSpaceDN/>
        <w:bidi w:val="0"/>
        <w:spacing w:before="156" w:line="288" w:lineRule="auto"/>
        <w:ind w:firstLine="480"/>
        <w:textAlignment w:val="auto"/>
        <w:rPr>
          <w:rFonts w:hint="eastAsia" w:ascii="宋体" w:hAnsi="宋体" w:eastAsia="宋体" w:cs="宋体"/>
          <w:color w:val="auto"/>
          <w:shd w:val="clear" w:color="auto" w:fill="auto"/>
        </w:rPr>
      </w:pPr>
      <w:bookmarkStart w:id="32" w:name="_GoBack"/>
      <w:r>
        <w:rPr>
          <w:rFonts w:hint="eastAsia" w:ascii="宋体" w:hAnsi="宋体" w:eastAsia="宋体" w:cs="宋体"/>
          <w:color w:val="auto"/>
        </w:rPr>
        <w:t>公司在加快发展步伐的同时，始终关注社会公益活动。通过捐赠、公益资助等相关活动，积极回报社会，推动公司与社会的和谐发展。公司在公益活动上主要秉承“责任、感恩”的公司核心价值观，无私回馈社会。</w:t>
      </w:r>
      <w:r>
        <w:rPr>
          <w:rFonts w:hint="eastAsia" w:ascii="宋体" w:hAnsi="宋体" w:eastAsia="宋体" w:cs="宋体"/>
          <w:color w:val="auto"/>
          <w:shd w:val="clear" w:color="auto" w:fill="auto"/>
        </w:rPr>
        <w:t>近三年来，公益事业共计投入</w:t>
      </w:r>
      <w:r>
        <w:rPr>
          <w:rFonts w:hint="eastAsia" w:ascii="宋体" w:hAnsi="宋体" w:eastAsia="宋体" w:cs="宋体"/>
          <w:color w:val="auto"/>
          <w:shd w:val="clear" w:color="auto" w:fill="auto"/>
          <w:lang w:val="en-US" w:eastAsia="zh-CN"/>
        </w:rPr>
        <w:t>10</w:t>
      </w:r>
      <w:r>
        <w:rPr>
          <w:rFonts w:hint="eastAsia" w:ascii="宋体" w:hAnsi="宋体" w:eastAsia="宋体" w:cs="宋体"/>
          <w:color w:val="auto"/>
          <w:shd w:val="clear" w:color="auto" w:fill="auto"/>
        </w:rPr>
        <w:t>余万元，其中“</w:t>
      </w:r>
      <w:r>
        <w:rPr>
          <w:rFonts w:hint="eastAsia" w:ascii="宋体" w:hAnsi="宋体" w:eastAsia="宋体" w:cs="宋体"/>
          <w:shd w:val="clear" w:color="auto" w:fill="auto"/>
        </w:rPr>
        <w:t>扶贫</w:t>
      </w:r>
      <w:r>
        <w:rPr>
          <w:rFonts w:hint="eastAsia" w:ascii="宋体" w:hAnsi="宋体" w:eastAsia="宋体" w:cs="宋体"/>
          <w:color w:val="auto"/>
          <w:shd w:val="clear" w:color="auto" w:fill="auto"/>
        </w:rPr>
        <w:t>”</w:t>
      </w:r>
      <w:r>
        <w:rPr>
          <w:rFonts w:hint="eastAsia" w:ascii="宋体" w:hAnsi="宋体" w:eastAsia="宋体" w:cs="宋体"/>
          <w:color w:val="auto"/>
          <w:shd w:val="clear" w:color="auto" w:fill="auto"/>
          <w:lang w:val="en-US" w:eastAsia="zh-CN"/>
        </w:rPr>
        <w:t>项目</w:t>
      </w:r>
      <w:r>
        <w:rPr>
          <w:rFonts w:hint="eastAsia" w:ascii="宋体" w:hAnsi="宋体" w:eastAsia="宋体" w:cs="宋体"/>
          <w:color w:val="auto"/>
          <w:shd w:val="clear" w:color="auto" w:fill="auto"/>
        </w:rPr>
        <w:t>捐助</w:t>
      </w:r>
      <w:r>
        <w:rPr>
          <w:rFonts w:hint="eastAsia" w:ascii="宋体" w:hAnsi="宋体" w:eastAsia="宋体" w:cs="宋体"/>
          <w:color w:val="auto"/>
          <w:shd w:val="clear" w:color="auto" w:fill="auto"/>
          <w:lang w:val="en-US" w:eastAsia="zh-CN"/>
        </w:rPr>
        <w:t>物资2</w:t>
      </w:r>
      <w:r>
        <w:rPr>
          <w:rFonts w:hint="eastAsia" w:ascii="宋体" w:hAnsi="宋体" w:eastAsia="宋体" w:cs="宋体"/>
          <w:color w:val="auto"/>
          <w:shd w:val="clear" w:color="auto" w:fill="auto"/>
        </w:rPr>
        <w:t>万元。</w:t>
      </w:r>
    </w:p>
    <w:p>
      <w:pPr>
        <w:pStyle w:val="49"/>
        <w:spacing w:before="156"/>
        <w:ind w:firstLine="480"/>
        <w:jc w:val="center"/>
        <w:rPr>
          <w:rFonts w:hint="eastAsia" w:ascii="宋体" w:hAnsi="宋体" w:eastAsia="宋体" w:cs="宋体"/>
          <w:b/>
          <w:bCs/>
          <w:szCs w:val="24"/>
        </w:rPr>
      </w:pPr>
      <w:r>
        <w:rPr>
          <w:rFonts w:hint="eastAsia" w:ascii="宋体" w:hAnsi="宋体" w:eastAsia="宋体" w:cs="宋体"/>
          <w:b/>
          <w:bCs/>
          <w:szCs w:val="24"/>
        </w:rPr>
        <w:t>公益支持</w:t>
      </w:r>
    </w:p>
    <w:tbl>
      <w:tblPr>
        <w:tblStyle w:val="22"/>
        <w:tblW w:w="917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BCD03"/>
        <w:tblLayout w:type="fixed"/>
        <w:tblCellMar>
          <w:top w:w="0" w:type="dxa"/>
          <w:left w:w="108" w:type="dxa"/>
          <w:bottom w:w="0" w:type="dxa"/>
          <w:right w:w="108" w:type="dxa"/>
        </w:tblCellMar>
      </w:tblPr>
      <w:tblGrid>
        <w:gridCol w:w="1200"/>
        <w:gridCol w:w="1671"/>
        <w:gridCol w:w="4567"/>
        <w:gridCol w:w="17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BCD03"/>
          <w:tblLayout w:type="fixed"/>
          <w:tblCellMar>
            <w:top w:w="0" w:type="dxa"/>
            <w:left w:w="108" w:type="dxa"/>
            <w:bottom w:w="0" w:type="dxa"/>
            <w:right w:w="108" w:type="dxa"/>
          </w:tblCellMar>
        </w:tblPrEx>
        <w:trPr>
          <w:trHeight w:val="405" w:hRule="atLeast"/>
          <w:tblHeader/>
        </w:trPr>
        <w:tc>
          <w:tcPr>
            <w:tcW w:w="1200" w:type="dxa"/>
            <w:shd w:val="clear" w:color="auto" w:fill="auto"/>
            <w:noWrap/>
            <w:vAlign w:val="center"/>
          </w:tcPr>
          <w:p>
            <w:pPr>
              <w:keepNext w:val="0"/>
              <w:keepLines w:val="0"/>
              <w:pageBreakBefore w:val="0"/>
              <w:widowControl/>
              <w:suppressLineNumbers w:val="0"/>
              <w:kinsoku/>
              <w:overflowPunct/>
              <w:topLinePunct w:val="0"/>
              <w:bidi w:val="0"/>
              <w:spacing w:before="157" w:beforeLines="50" w:beforeAutospacing="0" w:after="0" w:afterAutospacing="0" w:line="25" w:lineRule="atLeast"/>
              <w:ind w:left="0" w:right="0"/>
              <w:jc w:val="center"/>
              <w:rPr>
                <w:rFonts w:hint="default" w:cs="宋体"/>
                <w:b/>
                <w:bCs/>
                <w:color w:val="auto"/>
                <w:kern w:val="0"/>
                <w:sz w:val="21"/>
                <w:szCs w:val="21"/>
              </w:rPr>
            </w:pPr>
            <w:r>
              <w:rPr>
                <w:rFonts w:hint="eastAsia" w:cs="宋体"/>
                <w:b/>
                <w:bCs/>
                <w:color w:val="auto"/>
                <w:kern w:val="0"/>
                <w:sz w:val="21"/>
                <w:szCs w:val="21"/>
              </w:rPr>
              <w:t>时间</w:t>
            </w:r>
          </w:p>
        </w:tc>
        <w:tc>
          <w:tcPr>
            <w:tcW w:w="1671" w:type="dxa"/>
            <w:shd w:val="clear" w:color="auto" w:fill="auto"/>
            <w:noWrap/>
            <w:vAlign w:val="center"/>
          </w:tcPr>
          <w:p>
            <w:pPr>
              <w:keepNext w:val="0"/>
              <w:keepLines w:val="0"/>
              <w:pageBreakBefore w:val="0"/>
              <w:widowControl/>
              <w:suppressLineNumbers w:val="0"/>
              <w:kinsoku/>
              <w:overflowPunct/>
              <w:topLinePunct w:val="0"/>
              <w:bidi w:val="0"/>
              <w:spacing w:before="157" w:beforeLines="50" w:beforeAutospacing="0" w:after="0" w:afterAutospacing="0" w:line="25" w:lineRule="atLeast"/>
              <w:ind w:left="0" w:right="0"/>
              <w:jc w:val="center"/>
              <w:rPr>
                <w:rFonts w:hint="default" w:cs="宋体"/>
                <w:b/>
                <w:bCs/>
                <w:color w:val="auto"/>
                <w:kern w:val="0"/>
                <w:sz w:val="21"/>
                <w:szCs w:val="21"/>
              </w:rPr>
            </w:pPr>
            <w:r>
              <w:rPr>
                <w:rFonts w:hint="eastAsia" w:cs="宋体"/>
                <w:b/>
                <w:bCs/>
                <w:color w:val="auto"/>
                <w:kern w:val="0"/>
                <w:sz w:val="21"/>
                <w:szCs w:val="21"/>
              </w:rPr>
              <w:t>支持领域</w:t>
            </w:r>
          </w:p>
        </w:tc>
        <w:tc>
          <w:tcPr>
            <w:tcW w:w="4567" w:type="dxa"/>
            <w:shd w:val="clear" w:color="auto" w:fill="auto"/>
            <w:noWrap/>
            <w:vAlign w:val="center"/>
          </w:tcPr>
          <w:p>
            <w:pPr>
              <w:keepNext w:val="0"/>
              <w:keepLines w:val="0"/>
              <w:pageBreakBefore w:val="0"/>
              <w:widowControl/>
              <w:suppressLineNumbers w:val="0"/>
              <w:kinsoku/>
              <w:overflowPunct/>
              <w:topLinePunct w:val="0"/>
              <w:bidi w:val="0"/>
              <w:spacing w:before="157" w:beforeLines="50" w:beforeAutospacing="0" w:after="0" w:afterAutospacing="0" w:line="25" w:lineRule="atLeast"/>
              <w:ind w:left="0" w:right="0"/>
              <w:jc w:val="center"/>
              <w:rPr>
                <w:rFonts w:hint="default" w:cs="宋体"/>
                <w:b/>
                <w:bCs/>
                <w:color w:val="auto"/>
                <w:kern w:val="0"/>
                <w:sz w:val="21"/>
                <w:szCs w:val="21"/>
              </w:rPr>
            </w:pPr>
            <w:r>
              <w:rPr>
                <w:rFonts w:hint="eastAsia" w:cs="宋体"/>
                <w:b/>
                <w:bCs/>
                <w:color w:val="auto"/>
                <w:kern w:val="0"/>
                <w:sz w:val="21"/>
                <w:szCs w:val="21"/>
              </w:rPr>
              <w:t>主要项目</w:t>
            </w:r>
          </w:p>
        </w:tc>
        <w:tc>
          <w:tcPr>
            <w:tcW w:w="1735" w:type="dxa"/>
            <w:shd w:val="clear" w:color="auto" w:fill="auto"/>
            <w:vAlign w:val="center"/>
          </w:tcPr>
          <w:p>
            <w:pPr>
              <w:keepNext w:val="0"/>
              <w:keepLines w:val="0"/>
              <w:pageBreakBefore w:val="0"/>
              <w:widowControl/>
              <w:suppressLineNumbers w:val="0"/>
              <w:kinsoku/>
              <w:overflowPunct/>
              <w:topLinePunct w:val="0"/>
              <w:bidi w:val="0"/>
              <w:spacing w:before="157" w:beforeLines="50" w:beforeAutospacing="0" w:after="0" w:afterAutospacing="0" w:line="25" w:lineRule="atLeast"/>
              <w:ind w:left="0" w:right="0"/>
              <w:jc w:val="center"/>
              <w:rPr>
                <w:rFonts w:hint="default" w:cs="宋体"/>
                <w:b/>
                <w:bCs/>
                <w:color w:val="auto"/>
                <w:kern w:val="0"/>
                <w:sz w:val="21"/>
                <w:szCs w:val="21"/>
              </w:rPr>
            </w:pPr>
            <w:r>
              <w:rPr>
                <w:rFonts w:hint="eastAsia" w:cs="宋体"/>
                <w:b/>
                <w:bCs/>
                <w:color w:val="auto"/>
                <w:kern w:val="0"/>
                <w:sz w:val="21"/>
                <w:szCs w:val="21"/>
              </w:rPr>
              <w:t>捐助金额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BCD03"/>
          <w:tblLayout w:type="fixed"/>
          <w:tblCellMar>
            <w:top w:w="0" w:type="dxa"/>
            <w:left w:w="108" w:type="dxa"/>
            <w:bottom w:w="0" w:type="dxa"/>
            <w:right w:w="108" w:type="dxa"/>
          </w:tblCellMar>
        </w:tblPrEx>
        <w:trPr>
          <w:trHeight w:val="480" w:hRule="atLeast"/>
        </w:trPr>
        <w:tc>
          <w:tcPr>
            <w:tcW w:w="1200" w:type="dxa"/>
            <w:shd w:val="clear" w:color="auto" w:fill="auto"/>
            <w:noWrap/>
            <w:vAlign w:val="center"/>
          </w:tcPr>
          <w:p>
            <w:pPr>
              <w:keepNext w:val="0"/>
              <w:keepLines w:val="0"/>
              <w:widowControl/>
              <w:suppressLineNumbers w:val="0"/>
              <w:spacing w:before="0" w:beforeLines="50" w:beforeAutospacing="0" w:after="0" w:afterAutospacing="0" w:line="25" w:lineRule="atLeast"/>
              <w:ind w:left="0" w:right="0"/>
              <w:jc w:val="center"/>
              <w:rPr>
                <w:rFonts w:hint="default" w:ascii="宋体" w:hAnsi="宋体" w:eastAsia="宋体" w:cs="宋体"/>
                <w:color w:val="auto"/>
                <w:sz w:val="22"/>
                <w:szCs w:val="22"/>
                <w:shd w:val="clear" w:color="auto" w:fill="FFFFFF"/>
                <w:lang w:val="en-US" w:eastAsia="zh-CN" w:bidi="ar-SA"/>
              </w:rPr>
            </w:pPr>
            <w:r>
              <w:rPr>
                <w:rFonts w:hint="default" w:ascii="宋体" w:hAnsi="宋体" w:eastAsia="宋体" w:cs="宋体"/>
                <w:color w:val="auto"/>
                <w:sz w:val="22"/>
                <w:szCs w:val="22"/>
                <w:shd w:val="clear" w:color="auto" w:fill="FFFFFF"/>
                <w:lang w:val="en-US" w:eastAsia="zh-CN" w:bidi="ar-SA"/>
              </w:rPr>
              <w:t>2019</w:t>
            </w:r>
          </w:p>
        </w:tc>
        <w:tc>
          <w:tcPr>
            <w:tcW w:w="1671" w:type="dxa"/>
            <w:shd w:val="clear" w:color="auto" w:fill="auto"/>
            <w:noWrap/>
            <w:vAlign w:val="center"/>
          </w:tcPr>
          <w:p>
            <w:pPr>
              <w:keepNext w:val="0"/>
              <w:keepLines w:val="0"/>
              <w:widowControl/>
              <w:suppressLineNumbers w:val="0"/>
              <w:spacing w:before="0" w:beforeLines="50" w:beforeAutospacing="0" w:after="0" w:afterAutospacing="0" w:line="25" w:lineRule="atLeast"/>
              <w:ind w:left="0" w:right="0"/>
              <w:jc w:val="center"/>
              <w:rPr>
                <w:rFonts w:hint="default" w:ascii="宋体" w:hAnsi="宋体" w:eastAsia="宋体" w:cs="宋体"/>
                <w:color w:val="auto"/>
                <w:sz w:val="22"/>
                <w:szCs w:val="22"/>
                <w:shd w:val="clear" w:color="auto" w:fill="FFFFFF"/>
                <w:lang w:val="en-US" w:eastAsia="zh-CN" w:bidi="ar-SA"/>
              </w:rPr>
            </w:pPr>
            <w:r>
              <w:rPr>
                <w:rFonts w:hint="eastAsia" w:ascii="宋体" w:hAnsi="宋体" w:eastAsia="宋体" w:cs="宋体"/>
                <w:color w:val="auto"/>
                <w:sz w:val="22"/>
                <w:szCs w:val="22"/>
                <w:shd w:val="clear" w:color="auto" w:fill="FFFFFF"/>
                <w:lang w:val="en-US" w:eastAsia="zh-CN" w:bidi="ar-SA"/>
              </w:rPr>
              <w:t>慈善事业</w:t>
            </w:r>
          </w:p>
        </w:tc>
        <w:tc>
          <w:tcPr>
            <w:tcW w:w="4567" w:type="dxa"/>
            <w:shd w:val="clear" w:color="auto" w:fill="auto"/>
            <w:noWrap/>
            <w:vAlign w:val="top"/>
          </w:tcPr>
          <w:p>
            <w:pPr>
              <w:pStyle w:val="61"/>
              <w:rPr>
                <w:rFonts w:hint="default" w:ascii="宋体" w:hAnsi="宋体" w:eastAsia="宋体" w:cs="宋体"/>
                <w:color w:val="auto"/>
                <w:sz w:val="22"/>
                <w:szCs w:val="22"/>
                <w:shd w:val="clear" w:color="auto" w:fill="FFFFFF"/>
                <w:lang w:val="en-US" w:eastAsia="zh-CN" w:bidi="ar-SA"/>
              </w:rPr>
            </w:pPr>
            <w:r>
              <w:rPr>
                <w:rFonts w:hint="eastAsia" w:ascii="宋体" w:hAnsi="宋体" w:eastAsia="宋体" w:cs="宋体"/>
                <w:color w:val="auto"/>
                <w:sz w:val="22"/>
                <w:szCs w:val="22"/>
                <w:shd w:val="clear" w:color="auto" w:fill="FFFFFF"/>
                <w:lang w:val="en-US" w:eastAsia="zh-CN" w:bidi="ar-SA"/>
              </w:rPr>
              <w:t>捐款（音乐之声我要上学）</w:t>
            </w:r>
          </w:p>
        </w:tc>
        <w:tc>
          <w:tcPr>
            <w:tcW w:w="1735" w:type="dxa"/>
            <w:shd w:val="clear" w:color="auto" w:fill="auto"/>
            <w:noWrap/>
            <w:vAlign w:val="top"/>
          </w:tcPr>
          <w:p>
            <w:pPr>
              <w:pStyle w:val="61"/>
              <w:rPr>
                <w:rFonts w:hint="eastAsia" w:ascii="宋体" w:hAnsi="宋体" w:eastAsia="宋体" w:cs="宋体"/>
                <w:color w:val="auto"/>
                <w:sz w:val="22"/>
                <w:szCs w:val="22"/>
                <w:shd w:val="clear" w:color="auto" w:fill="FFFFFF"/>
                <w:lang w:val="en-US" w:eastAsia="zh-CN" w:bidi="ar-SA"/>
              </w:rPr>
            </w:pPr>
            <w:r>
              <w:rPr>
                <w:rFonts w:hint="eastAsia" w:ascii="宋体" w:hAnsi="宋体" w:eastAsia="宋体" w:cs="宋体"/>
                <w:color w:val="auto"/>
                <w:sz w:val="22"/>
                <w:szCs w:val="22"/>
                <w:shd w:val="clear" w:color="auto" w:fill="FFFFFF"/>
                <w:lang w:val="en-US" w:eastAsia="zh-CN" w:bidi="ar-SA"/>
              </w:rPr>
              <w:t>4800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BCD03"/>
          <w:tblLayout w:type="fixed"/>
          <w:tblCellMar>
            <w:top w:w="0" w:type="dxa"/>
            <w:left w:w="108" w:type="dxa"/>
            <w:bottom w:w="0" w:type="dxa"/>
            <w:right w:w="108" w:type="dxa"/>
          </w:tblCellMar>
        </w:tblPrEx>
        <w:trPr>
          <w:trHeight w:val="480" w:hRule="atLeast"/>
        </w:trPr>
        <w:tc>
          <w:tcPr>
            <w:tcW w:w="1200" w:type="dxa"/>
            <w:shd w:val="clear" w:color="auto" w:fill="auto"/>
            <w:noWrap/>
            <w:vAlign w:val="center"/>
          </w:tcPr>
          <w:p>
            <w:pPr>
              <w:keepNext w:val="0"/>
              <w:keepLines w:val="0"/>
              <w:widowControl/>
              <w:suppressLineNumbers w:val="0"/>
              <w:spacing w:before="0" w:beforeLines="50" w:beforeAutospacing="0" w:after="0" w:afterAutospacing="0" w:line="25" w:lineRule="atLeast"/>
              <w:ind w:left="0" w:right="0"/>
              <w:jc w:val="center"/>
              <w:rPr>
                <w:rFonts w:hint="default" w:ascii="宋体" w:hAnsi="宋体" w:eastAsia="宋体" w:cs="宋体"/>
                <w:color w:val="auto"/>
                <w:sz w:val="22"/>
                <w:szCs w:val="22"/>
                <w:shd w:val="clear" w:color="auto" w:fill="FFFFFF"/>
                <w:lang w:val="en-US" w:eastAsia="zh-CN" w:bidi="ar-SA"/>
              </w:rPr>
            </w:pPr>
            <w:r>
              <w:rPr>
                <w:rFonts w:hint="default" w:ascii="宋体" w:hAnsi="宋体" w:eastAsia="宋体" w:cs="宋体"/>
                <w:color w:val="auto"/>
                <w:sz w:val="22"/>
                <w:szCs w:val="22"/>
                <w:shd w:val="clear" w:color="auto" w:fill="FFFFFF"/>
                <w:lang w:val="en-US" w:eastAsia="zh-CN" w:bidi="ar-SA"/>
              </w:rPr>
              <w:t>2020</w:t>
            </w:r>
          </w:p>
        </w:tc>
        <w:tc>
          <w:tcPr>
            <w:tcW w:w="1671" w:type="dxa"/>
            <w:shd w:val="clear" w:color="auto" w:fill="auto"/>
            <w:noWrap/>
            <w:vAlign w:val="center"/>
          </w:tcPr>
          <w:p>
            <w:pPr>
              <w:keepNext w:val="0"/>
              <w:keepLines w:val="0"/>
              <w:widowControl/>
              <w:suppressLineNumbers w:val="0"/>
              <w:spacing w:before="0" w:beforeLines="50" w:beforeAutospacing="0" w:after="0" w:afterAutospacing="0" w:line="25" w:lineRule="atLeast"/>
              <w:ind w:left="0" w:right="0"/>
              <w:jc w:val="center"/>
              <w:rPr>
                <w:rFonts w:hint="default" w:ascii="宋体" w:hAnsi="宋体" w:eastAsia="宋体" w:cs="宋体"/>
                <w:color w:val="auto"/>
                <w:sz w:val="22"/>
                <w:szCs w:val="22"/>
                <w:shd w:val="clear" w:color="auto" w:fill="FFFFFF"/>
                <w:lang w:val="en-US" w:eastAsia="zh-CN" w:bidi="ar-SA"/>
              </w:rPr>
            </w:pPr>
            <w:r>
              <w:rPr>
                <w:rFonts w:hint="eastAsia" w:ascii="宋体" w:hAnsi="宋体" w:eastAsia="宋体" w:cs="宋体"/>
                <w:color w:val="auto"/>
                <w:sz w:val="22"/>
                <w:szCs w:val="22"/>
                <w:shd w:val="clear" w:color="auto" w:fill="FFFFFF"/>
                <w:lang w:val="en-US" w:eastAsia="zh-CN" w:bidi="ar-SA"/>
              </w:rPr>
              <w:t>慈善事业</w:t>
            </w:r>
          </w:p>
        </w:tc>
        <w:tc>
          <w:tcPr>
            <w:tcW w:w="4567" w:type="dxa"/>
            <w:shd w:val="clear" w:color="auto" w:fill="auto"/>
            <w:noWrap/>
            <w:vAlign w:val="top"/>
          </w:tcPr>
          <w:p>
            <w:pPr>
              <w:pStyle w:val="61"/>
              <w:rPr>
                <w:rFonts w:hint="default" w:ascii="宋体" w:hAnsi="宋体" w:eastAsia="宋体" w:cs="宋体"/>
                <w:color w:val="auto"/>
                <w:sz w:val="22"/>
                <w:szCs w:val="22"/>
                <w:shd w:val="clear" w:color="auto" w:fill="FFFFFF"/>
                <w:lang w:val="en-US" w:eastAsia="zh-CN" w:bidi="ar-SA"/>
              </w:rPr>
            </w:pPr>
            <w:r>
              <w:rPr>
                <w:rFonts w:hint="eastAsia" w:ascii="宋体" w:hAnsi="宋体" w:eastAsia="宋体" w:cs="宋体"/>
                <w:color w:val="auto"/>
                <w:sz w:val="22"/>
                <w:szCs w:val="22"/>
                <w:shd w:val="clear" w:color="auto" w:fill="FFFFFF"/>
                <w:lang w:val="en-US" w:eastAsia="zh-CN" w:bidi="ar-SA"/>
              </w:rPr>
              <w:t>修路乐助款</w:t>
            </w:r>
          </w:p>
        </w:tc>
        <w:tc>
          <w:tcPr>
            <w:tcW w:w="1735" w:type="dxa"/>
            <w:shd w:val="clear" w:color="auto" w:fill="auto"/>
            <w:noWrap/>
            <w:vAlign w:val="top"/>
          </w:tcPr>
          <w:p>
            <w:pPr>
              <w:pStyle w:val="61"/>
              <w:rPr>
                <w:rFonts w:hint="eastAsia" w:ascii="宋体" w:hAnsi="宋体" w:eastAsia="宋体" w:cs="宋体"/>
                <w:color w:val="auto"/>
                <w:sz w:val="22"/>
                <w:szCs w:val="22"/>
                <w:shd w:val="clear" w:color="auto" w:fill="FFFFFF"/>
                <w:lang w:val="en-US" w:eastAsia="zh-CN" w:bidi="ar-SA"/>
              </w:rPr>
            </w:pPr>
            <w:r>
              <w:rPr>
                <w:rFonts w:hint="eastAsia" w:ascii="宋体" w:hAnsi="宋体" w:eastAsia="宋体" w:cs="宋体"/>
                <w:color w:val="auto"/>
                <w:sz w:val="22"/>
                <w:szCs w:val="22"/>
                <w:shd w:val="clear" w:color="auto" w:fill="FFFFFF"/>
                <w:lang w:val="en-US" w:eastAsia="zh-CN" w:bidi="ar-SA"/>
              </w:rPr>
              <w:t>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BCD03"/>
          <w:tblLayout w:type="fixed"/>
          <w:tblCellMar>
            <w:top w:w="0" w:type="dxa"/>
            <w:left w:w="108" w:type="dxa"/>
            <w:bottom w:w="0" w:type="dxa"/>
            <w:right w:w="108" w:type="dxa"/>
          </w:tblCellMar>
        </w:tblPrEx>
        <w:trPr>
          <w:trHeight w:val="480" w:hRule="atLeast"/>
        </w:trPr>
        <w:tc>
          <w:tcPr>
            <w:tcW w:w="1200" w:type="dxa"/>
            <w:shd w:val="clear" w:color="auto" w:fill="auto"/>
            <w:noWrap/>
            <w:vAlign w:val="center"/>
          </w:tcPr>
          <w:p>
            <w:pPr>
              <w:keepNext w:val="0"/>
              <w:keepLines w:val="0"/>
              <w:widowControl/>
              <w:suppressLineNumbers w:val="0"/>
              <w:spacing w:before="0" w:beforeLines="50" w:beforeAutospacing="0" w:after="0" w:afterAutospacing="0" w:line="25" w:lineRule="atLeast"/>
              <w:ind w:left="0" w:right="0"/>
              <w:jc w:val="center"/>
              <w:rPr>
                <w:rFonts w:hint="default" w:ascii="宋体" w:hAnsi="宋体" w:eastAsia="宋体" w:cs="宋体"/>
                <w:color w:val="auto"/>
                <w:sz w:val="22"/>
                <w:szCs w:val="22"/>
                <w:shd w:val="clear" w:color="auto" w:fill="FFFFFF"/>
                <w:lang w:val="en-US" w:eastAsia="zh-CN" w:bidi="ar-SA"/>
              </w:rPr>
            </w:pPr>
            <w:r>
              <w:rPr>
                <w:rFonts w:hint="default" w:ascii="宋体" w:hAnsi="宋体" w:eastAsia="宋体" w:cs="宋体"/>
                <w:color w:val="auto"/>
                <w:sz w:val="22"/>
                <w:szCs w:val="22"/>
                <w:shd w:val="clear" w:color="auto" w:fill="FFFFFF"/>
                <w:lang w:val="en-US" w:eastAsia="zh-CN" w:bidi="ar-SA"/>
              </w:rPr>
              <w:t>2020</w:t>
            </w:r>
          </w:p>
        </w:tc>
        <w:tc>
          <w:tcPr>
            <w:tcW w:w="1671" w:type="dxa"/>
            <w:shd w:val="clear" w:color="auto" w:fill="auto"/>
            <w:noWrap/>
            <w:vAlign w:val="center"/>
          </w:tcPr>
          <w:p>
            <w:pPr>
              <w:keepNext w:val="0"/>
              <w:keepLines w:val="0"/>
              <w:widowControl/>
              <w:suppressLineNumbers w:val="0"/>
              <w:spacing w:before="0" w:beforeLines="50" w:beforeAutospacing="0" w:after="0" w:afterAutospacing="0" w:line="25" w:lineRule="atLeast"/>
              <w:ind w:left="0" w:right="0"/>
              <w:jc w:val="center"/>
              <w:rPr>
                <w:rFonts w:hint="eastAsia" w:ascii="宋体" w:hAnsi="宋体" w:eastAsia="宋体" w:cs="宋体"/>
                <w:color w:val="auto"/>
                <w:sz w:val="22"/>
                <w:szCs w:val="22"/>
                <w:shd w:val="clear" w:color="auto" w:fill="FFFFFF"/>
                <w:lang w:val="en-US" w:eastAsia="zh-CN" w:bidi="ar-SA"/>
              </w:rPr>
            </w:pPr>
            <w:r>
              <w:rPr>
                <w:rFonts w:hint="eastAsia" w:ascii="宋体" w:hAnsi="宋体" w:eastAsia="宋体" w:cs="宋体"/>
                <w:color w:val="auto"/>
                <w:sz w:val="22"/>
                <w:szCs w:val="22"/>
                <w:shd w:val="clear" w:color="auto" w:fill="FFFFFF"/>
                <w:lang w:val="en-US" w:eastAsia="zh-CN" w:bidi="ar-SA"/>
              </w:rPr>
              <w:t>抗疫领域</w:t>
            </w:r>
          </w:p>
        </w:tc>
        <w:tc>
          <w:tcPr>
            <w:tcW w:w="4567" w:type="dxa"/>
            <w:shd w:val="clear" w:color="auto" w:fill="auto"/>
            <w:noWrap/>
            <w:vAlign w:val="top"/>
          </w:tcPr>
          <w:p>
            <w:pPr>
              <w:pStyle w:val="61"/>
              <w:rPr>
                <w:rFonts w:hint="default" w:ascii="宋体" w:hAnsi="宋体" w:eastAsia="宋体" w:cs="宋体"/>
                <w:color w:val="auto"/>
                <w:sz w:val="22"/>
                <w:szCs w:val="22"/>
                <w:shd w:val="clear" w:color="auto" w:fill="FFFFFF"/>
                <w:lang w:val="en-US" w:eastAsia="zh-CN" w:bidi="ar-SA"/>
              </w:rPr>
            </w:pPr>
            <w:r>
              <w:rPr>
                <w:rFonts w:hint="eastAsia" w:ascii="宋体" w:hAnsi="宋体" w:eastAsia="宋体" w:cs="宋体"/>
                <w:color w:val="auto"/>
                <w:sz w:val="22"/>
                <w:szCs w:val="22"/>
                <w:shd w:val="clear" w:color="auto" w:fill="FFFFFF"/>
                <w:lang w:val="en-US" w:eastAsia="zh-CN" w:bidi="ar-SA"/>
              </w:rPr>
              <w:t>张瞿村、刘宅村、峡门村防诈骗公益活动</w:t>
            </w:r>
          </w:p>
        </w:tc>
        <w:tc>
          <w:tcPr>
            <w:tcW w:w="1735" w:type="dxa"/>
            <w:shd w:val="clear" w:color="auto" w:fill="auto"/>
            <w:noWrap/>
            <w:vAlign w:val="top"/>
          </w:tcPr>
          <w:p>
            <w:pPr>
              <w:pStyle w:val="61"/>
              <w:rPr>
                <w:rFonts w:hint="default" w:ascii="宋体" w:hAnsi="宋体" w:eastAsia="宋体" w:cs="宋体"/>
                <w:color w:val="auto"/>
                <w:sz w:val="22"/>
                <w:szCs w:val="22"/>
                <w:shd w:val="clear" w:color="auto" w:fill="FFFFFF"/>
                <w:lang w:val="en-US" w:eastAsia="zh-CN" w:bidi="ar-SA"/>
              </w:rPr>
            </w:pPr>
            <w:r>
              <w:rPr>
                <w:rFonts w:hint="eastAsia" w:ascii="宋体" w:hAnsi="宋体" w:eastAsia="宋体" w:cs="宋体"/>
                <w:color w:val="auto"/>
                <w:sz w:val="22"/>
                <w:szCs w:val="22"/>
                <w:shd w:val="clear" w:color="auto" w:fill="FFFFFF"/>
                <w:lang w:val="en-US" w:eastAsia="zh-CN" w:bidi="ar-SA"/>
              </w:rPr>
              <w:t>/</w:t>
            </w:r>
          </w:p>
        </w:tc>
      </w:tr>
      <w:bookmarkEnd w:id="13"/>
    </w:tbl>
    <w:p>
      <w:pPr>
        <w:pStyle w:val="21"/>
        <w:adjustRightInd/>
        <w:snapToGrid/>
        <w:spacing w:after="0" w:line="360" w:lineRule="auto"/>
        <w:ind w:left="0" w:leftChars="0" w:firstLine="0" w:firstLineChars="0"/>
        <w:jc w:val="center"/>
        <w:rPr>
          <w:rFonts w:cs="宋体"/>
        </w:rPr>
      </w:pPr>
      <w:r>
        <w:drawing>
          <wp:inline distT="0" distB="0" distL="114300" distR="114300">
            <wp:extent cx="2529205" cy="4260215"/>
            <wp:effectExtent l="0" t="0" r="6985" b="444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5"/>
                    <a:srcRect r="20818"/>
                    <a:stretch>
                      <a:fillRect/>
                    </a:stretch>
                  </pic:blipFill>
                  <pic:spPr>
                    <a:xfrm rot="-5400000">
                      <a:off x="0" y="0"/>
                      <a:ext cx="2529205" cy="4260215"/>
                    </a:xfrm>
                    <a:prstGeom prst="rect">
                      <a:avLst/>
                    </a:prstGeom>
                    <a:noFill/>
                    <a:ln>
                      <a:noFill/>
                    </a:ln>
                  </pic:spPr>
                </pic:pic>
              </a:graphicData>
            </a:graphic>
          </wp:inline>
        </w:drawing>
      </w:r>
      <w:r>
        <w:drawing>
          <wp:inline distT="0" distB="0" distL="114300" distR="114300">
            <wp:extent cx="2416175" cy="4418965"/>
            <wp:effectExtent l="0" t="0" r="635" b="31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6"/>
                    <a:stretch>
                      <a:fillRect/>
                    </a:stretch>
                  </pic:blipFill>
                  <pic:spPr>
                    <a:xfrm rot="-5400000">
                      <a:off x="0" y="0"/>
                      <a:ext cx="2416175" cy="4418965"/>
                    </a:xfrm>
                    <a:prstGeom prst="rect">
                      <a:avLst/>
                    </a:prstGeom>
                    <a:noFill/>
                    <a:ln>
                      <a:noFill/>
                    </a:ln>
                  </pic:spPr>
                </pic:pic>
              </a:graphicData>
            </a:graphic>
          </wp:inline>
        </w:drawing>
      </w:r>
    </w:p>
    <w:p>
      <w:pPr>
        <w:pStyle w:val="21"/>
        <w:adjustRightInd/>
        <w:snapToGrid/>
        <w:spacing w:after="0" w:line="360" w:lineRule="auto"/>
        <w:ind w:left="0" w:leftChars="0" w:firstLine="0" w:firstLineChars="0"/>
        <w:jc w:val="both"/>
        <w:rPr>
          <w:rFonts w:cs="宋体"/>
        </w:rPr>
      </w:pPr>
      <w:r>
        <w:rPr>
          <w:rFonts w:hint="eastAsia" w:eastAsia="微软雅黑"/>
          <w:lang w:eastAsia="zh-CN"/>
        </w:rPr>
        <w:drawing>
          <wp:anchor distT="0" distB="0" distL="114300" distR="114300" simplePos="0" relativeHeight="253001728" behindDoc="0" locked="0" layoutInCell="1" allowOverlap="1">
            <wp:simplePos x="0" y="0"/>
            <wp:positionH relativeFrom="column">
              <wp:posOffset>375285</wp:posOffset>
            </wp:positionH>
            <wp:positionV relativeFrom="paragraph">
              <wp:posOffset>176530</wp:posOffset>
            </wp:positionV>
            <wp:extent cx="4181475" cy="5434330"/>
            <wp:effectExtent l="0" t="0" r="9525" b="13970"/>
            <wp:wrapTopAndBottom/>
            <wp:docPr id="19" name="图片 5" descr="166571249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1665712499479"/>
                    <pic:cNvPicPr>
                      <a:picLocks noChangeAspect="1"/>
                    </pic:cNvPicPr>
                  </pic:nvPicPr>
                  <pic:blipFill>
                    <a:blip r:embed="rId17"/>
                    <a:stretch>
                      <a:fillRect/>
                    </a:stretch>
                  </pic:blipFill>
                  <pic:spPr>
                    <a:xfrm>
                      <a:off x="0" y="0"/>
                      <a:ext cx="4181475" cy="5434330"/>
                    </a:xfrm>
                    <a:prstGeom prst="rect">
                      <a:avLst/>
                    </a:prstGeom>
                    <a:noFill/>
                    <a:ln>
                      <a:noFill/>
                    </a:ln>
                  </pic:spPr>
                </pic:pic>
              </a:graphicData>
            </a:graphic>
          </wp:anchor>
        </w:drawing>
      </w:r>
    </w:p>
    <w:bookmarkEnd w:id="32"/>
    <w:p>
      <w:pPr>
        <w:pStyle w:val="21"/>
        <w:adjustRightInd/>
        <w:snapToGrid/>
        <w:spacing w:after="0" w:line="360" w:lineRule="auto"/>
        <w:ind w:left="0" w:leftChars="0" w:firstLine="0" w:firstLineChars="0"/>
        <w:jc w:val="both"/>
        <w:rPr>
          <w:rFonts w:cs="宋体"/>
        </w:rPr>
      </w:pPr>
    </w:p>
    <w:p>
      <w:pPr>
        <w:pStyle w:val="21"/>
        <w:adjustRightInd/>
        <w:snapToGrid/>
        <w:spacing w:after="0" w:line="360" w:lineRule="auto"/>
        <w:ind w:left="0" w:leftChars="0" w:firstLine="0" w:firstLineChars="0"/>
        <w:jc w:val="both"/>
        <w:rPr>
          <w:rFonts w:ascii="宋体" w:hAnsi="宋体" w:eastAsia="宋体" w:cs="宋体"/>
          <w:kern w:val="0"/>
          <w:sz w:val="24"/>
          <w:szCs w:val="24"/>
          <w:lang w:val="en-US" w:eastAsia="zh-CN" w:bidi="ar"/>
        </w:rPr>
      </w:pPr>
    </w:p>
    <w:p>
      <w:pPr>
        <w:pStyle w:val="21"/>
        <w:adjustRightInd/>
        <w:snapToGrid/>
        <w:spacing w:after="0" w:line="360" w:lineRule="auto"/>
        <w:ind w:left="0" w:leftChars="0" w:firstLine="0" w:firstLineChars="0"/>
        <w:jc w:val="both"/>
        <w:rPr>
          <w:rFonts w:ascii="宋体" w:hAnsi="宋体" w:eastAsia="宋体" w:cs="宋体"/>
          <w:kern w:val="0"/>
          <w:sz w:val="24"/>
          <w:szCs w:val="24"/>
          <w:lang w:val="en-US" w:eastAsia="zh-CN" w:bidi="ar"/>
        </w:rPr>
      </w:pPr>
    </w:p>
    <w:p>
      <w:pPr>
        <w:pStyle w:val="21"/>
        <w:adjustRightInd/>
        <w:snapToGrid/>
        <w:spacing w:after="0" w:line="360" w:lineRule="auto"/>
        <w:ind w:left="0" w:leftChars="0" w:firstLine="0" w:firstLineChars="0"/>
        <w:jc w:val="both"/>
        <w:rPr>
          <w:rFonts w:ascii="宋体" w:hAnsi="宋体" w:eastAsia="宋体" w:cs="宋体"/>
          <w:kern w:val="0"/>
          <w:sz w:val="24"/>
          <w:szCs w:val="24"/>
          <w:lang w:val="en-US" w:eastAsia="zh-CN" w:bidi="ar"/>
        </w:rPr>
      </w:pPr>
    </w:p>
    <w:p>
      <w:pPr>
        <w:pStyle w:val="21"/>
        <w:adjustRightInd/>
        <w:snapToGrid/>
        <w:spacing w:after="0" w:line="360" w:lineRule="auto"/>
        <w:ind w:left="0" w:leftChars="0" w:firstLine="0" w:firstLineChars="0"/>
        <w:jc w:val="both"/>
        <w:rPr>
          <w:rFonts w:ascii="宋体" w:hAnsi="宋体" w:eastAsia="宋体" w:cs="宋体"/>
          <w:kern w:val="0"/>
          <w:sz w:val="24"/>
          <w:szCs w:val="24"/>
          <w:lang w:val="en-US" w:eastAsia="zh-CN" w:bidi="ar"/>
        </w:rPr>
      </w:pPr>
    </w:p>
    <w:p>
      <w:pPr>
        <w:pStyle w:val="21"/>
        <w:adjustRightInd/>
        <w:snapToGrid/>
        <w:spacing w:after="0" w:line="360" w:lineRule="auto"/>
        <w:ind w:left="0" w:leftChars="0" w:firstLine="0" w:firstLineChars="0"/>
        <w:jc w:val="both"/>
        <w:rPr>
          <w:rFonts w:ascii="宋体" w:hAnsi="宋体" w:eastAsia="宋体" w:cs="宋体"/>
          <w:kern w:val="0"/>
          <w:sz w:val="24"/>
          <w:szCs w:val="24"/>
          <w:lang w:val="en-US" w:eastAsia="zh-CN" w:bidi="ar"/>
        </w:rPr>
      </w:pPr>
    </w:p>
    <w:p>
      <w:pPr>
        <w:pStyle w:val="21"/>
        <w:adjustRightInd/>
        <w:snapToGrid/>
        <w:spacing w:after="0" w:line="360" w:lineRule="auto"/>
        <w:ind w:left="0" w:leftChars="0" w:firstLine="0" w:firstLineChars="0"/>
        <w:jc w:val="both"/>
        <w:rPr>
          <w:rFonts w:ascii="宋体" w:hAnsi="宋体" w:eastAsia="宋体" w:cs="宋体"/>
          <w:kern w:val="0"/>
          <w:sz w:val="24"/>
          <w:szCs w:val="24"/>
          <w:lang w:val="en-US" w:eastAsia="zh-CN" w:bidi="ar"/>
        </w:rPr>
      </w:pPr>
    </w:p>
    <w:p>
      <w:pPr>
        <w:pStyle w:val="21"/>
        <w:adjustRightInd/>
        <w:snapToGrid/>
        <w:spacing w:after="0" w:line="360" w:lineRule="auto"/>
        <w:ind w:left="0" w:leftChars="0" w:firstLine="0" w:firstLineChars="0"/>
        <w:jc w:val="both"/>
        <w:rPr>
          <w:rFonts w:hint="eastAsia" w:ascii="宋体" w:hAnsi="宋体" w:eastAsia="宋体" w:cs="宋体"/>
          <w:kern w:val="0"/>
          <w:sz w:val="24"/>
          <w:szCs w:val="24"/>
          <w:lang w:val="en-US" w:eastAsia="zh-CN" w:bidi="ar"/>
        </w:rPr>
      </w:pPr>
    </w:p>
    <w:sectPr>
      <w:headerReference r:id="rId9" w:type="default"/>
      <w:pgSz w:w="11907" w:h="16839"/>
      <w:pgMar w:top="1440" w:right="1800" w:bottom="1440"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YuenHKS-SemiBold">
    <w:altName w:val="宋体"/>
    <w:panose1 w:val="00000000000000000000"/>
    <w:charset w:val="86"/>
    <w:family w:val="swiss"/>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160541"/>
    </w:sdtPr>
    <w:sdtContent>
      <w:p>
        <w:pPr>
          <w:pStyle w:val="15"/>
          <w:ind w:firstLine="360"/>
          <w:jc w:val="center"/>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sdtContent>
  </w:sdt>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jc w:val="left"/>
      <w:rPr>
        <w:rFonts w:hint="eastAsia"/>
        <w:lang w:val="en-US" w:eastAsia="zh-CN"/>
      </w:rPr>
    </w:pPr>
    <w:r>
      <w:rPr>
        <w:rFonts w:hint="eastAsia"/>
        <w:lang w:val="en-US" w:eastAsia="zh-CN"/>
      </w:rPr>
      <w:drawing>
        <wp:anchor distT="0" distB="0" distL="114300" distR="114300" simplePos="0" relativeHeight="6144" behindDoc="0" locked="0" layoutInCell="1" allowOverlap="1">
          <wp:simplePos x="0" y="0"/>
          <wp:positionH relativeFrom="column">
            <wp:posOffset>-378460</wp:posOffset>
          </wp:positionH>
          <wp:positionV relativeFrom="paragraph">
            <wp:posOffset>-86360</wp:posOffset>
          </wp:positionV>
          <wp:extent cx="1360805" cy="377825"/>
          <wp:effectExtent l="0" t="0" r="10795" b="3175"/>
          <wp:wrapTopAndBottom/>
          <wp:docPr id="7" name="图片 1" descr="165959692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659596921921"/>
                  <pic:cNvPicPr>
                    <a:picLocks noChangeAspect="1"/>
                  </pic:cNvPicPr>
                </pic:nvPicPr>
                <pic:blipFill>
                  <a:blip r:embed="rId1"/>
                  <a:stretch>
                    <a:fillRect/>
                  </a:stretch>
                </pic:blipFill>
                <pic:spPr>
                  <a:xfrm>
                    <a:off x="0" y="0"/>
                    <a:ext cx="1360805" cy="377825"/>
                  </a:xfrm>
                  <a:prstGeom prst="rect">
                    <a:avLst/>
                  </a:prstGeom>
                  <a:noFill/>
                  <a:ln>
                    <a:noFill/>
                  </a:ln>
                </pic:spPr>
              </pic:pic>
            </a:graphicData>
          </a:graphic>
        </wp:anchor>
      </w:drawing>
    </w:r>
    <w:r>
      <w:rPr>
        <w:rFonts w:hint="eastAsia"/>
        <w:lang w:val="en-US" w:eastAsia="zh-CN"/>
      </w:rPr>
      <w:t xml:space="preserve">                                                                 </w:t>
    </w:r>
  </w:p>
  <w:p>
    <w:pPr>
      <w:pStyle w:val="16"/>
      <w:pBdr>
        <w:bottom w:val="none" w:color="auto" w:sz="0" w:space="1"/>
      </w:pBdr>
      <w:ind w:firstLine="5602" w:firstLineChars="3100"/>
      <w:jc w:val="left"/>
      <w:rPr>
        <w:rFonts w:hint="default"/>
        <w:b/>
        <w:bCs/>
        <w:sz w:val="6"/>
        <w:szCs w:val="6"/>
        <w:lang w:val="en-US"/>
      </w:rPr>
    </w:pPr>
    <w:r>
      <w:rPr>
        <w:rFonts w:hint="eastAsia"/>
        <w:b/>
        <w:bCs/>
        <w:lang w:val="en-US" w:eastAsia="zh-CN"/>
      </w:rPr>
      <w:t xml:space="preserve"> </w:t>
    </w:r>
    <w:r>
      <w:rPr>
        <w:rFonts w:hint="eastAsia"/>
        <w:b/>
        <w:bCs/>
        <w:sz w:val="24"/>
        <w:szCs w:val="24"/>
      </w:rPr>
      <w:t>20</w:t>
    </w:r>
    <w:r>
      <w:rPr>
        <w:rFonts w:hint="eastAsia"/>
        <w:b/>
        <w:bCs/>
        <w:sz w:val="24"/>
        <w:szCs w:val="24"/>
        <w:lang w:val="en-US" w:eastAsia="zh-CN"/>
      </w:rPr>
      <w:t>21</w:t>
    </w:r>
    <w:r>
      <w:rPr>
        <w:rFonts w:hint="eastAsia"/>
        <w:b/>
        <w:bCs/>
        <w:sz w:val="24"/>
        <w:szCs w:val="24"/>
      </w:rPr>
      <w:t>年社会责任报告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rPr>
        <w:rFonts w:hint="eastAsia"/>
        <w:lang w:val="en-US" w:eastAsia="zh-CN"/>
      </w:rPr>
      <w:drawing>
        <wp:anchor distT="0" distB="0" distL="114300" distR="114300" simplePos="0" relativeHeight="6144" behindDoc="0" locked="0" layoutInCell="1" allowOverlap="1">
          <wp:simplePos x="0" y="0"/>
          <wp:positionH relativeFrom="column">
            <wp:posOffset>-378460</wp:posOffset>
          </wp:positionH>
          <wp:positionV relativeFrom="paragraph">
            <wp:posOffset>-86360</wp:posOffset>
          </wp:positionV>
          <wp:extent cx="1360805" cy="377825"/>
          <wp:effectExtent l="0" t="0" r="10795" b="3175"/>
          <wp:wrapTopAndBottom/>
          <wp:docPr id="20" name="图片 1" descr="165959692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1659596921921"/>
                  <pic:cNvPicPr>
                    <a:picLocks noChangeAspect="1"/>
                  </pic:cNvPicPr>
                </pic:nvPicPr>
                <pic:blipFill>
                  <a:blip r:embed="rId1"/>
                  <a:stretch>
                    <a:fillRect/>
                  </a:stretch>
                </pic:blipFill>
                <pic:spPr>
                  <a:xfrm>
                    <a:off x="0" y="0"/>
                    <a:ext cx="1360805" cy="3778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409E4"/>
    <w:multiLevelType w:val="singleLevel"/>
    <w:tmpl w:val="24A409E4"/>
    <w:lvl w:ilvl="0" w:tentative="0">
      <w:start w:val="3"/>
      <w:numFmt w:val="chineseCounting"/>
      <w:suff w:val="space"/>
      <w:lvlText w:val="第%1章"/>
      <w:lvlJc w:val="left"/>
      <w:rPr>
        <w:rFonts w:hint="eastAsia"/>
      </w:rPr>
    </w:lvl>
  </w:abstractNum>
  <w:abstractNum w:abstractNumId="1">
    <w:nsid w:val="2769937E"/>
    <w:multiLevelType w:val="singleLevel"/>
    <w:tmpl w:val="2769937E"/>
    <w:lvl w:ilvl="0" w:tentative="0">
      <w:start w:val="2"/>
      <w:numFmt w:val="chineseCounting"/>
      <w:suff w:val="nothing"/>
      <w:lvlText w:val="%1、"/>
      <w:lvlJc w:val="left"/>
      <w:rPr>
        <w:rFonts w:hint="eastAsia"/>
      </w:rPr>
    </w:lvl>
  </w:abstractNum>
  <w:abstractNum w:abstractNumId="2">
    <w:nsid w:val="38694DA3"/>
    <w:multiLevelType w:val="multilevel"/>
    <w:tmpl w:val="38694DA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1142C4A"/>
    <w:multiLevelType w:val="singleLevel"/>
    <w:tmpl w:val="41142C4A"/>
    <w:lvl w:ilvl="0" w:tentative="0">
      <w:start w:val="3"/>
      <w:numFmt w:val="decimal"/>
      <w:suff w:val="space"/>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drawingGridHorizontalSpacing w:val="140"/>
  <w:drawingGridVerticalSpacing w:val="381"/>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710"/>
    <w:rsid w:val="0000140C"/>
    <w:rsid w:val="00002309"/>
    <w:rsid w:val="00002602"/>
    <w:rsid w:val="0000293C"/>
    <w:rsid w:val="00003421"/>
    <w:rsid w:val="00005CE0"/>
    <w:rsid w:val="00007281"/>
    <w:rsid w:val="00010664"/>
    <w:rsid w:val="00012984"/>
    <w:rsid w:val="00014C51"/>
    <w:rsid w:val="00014E0D"/>
    <w:rsid w:val="000152BC"/>
    <w:rsid w:val="00017CB8"/>
    <w:rsid w:val="000222C7"/>
    <w:rsid w:val="00026B41"/>
    <w:rsid w:val="00026BFB"/>
    <w:rsid w:val="00026C90"/>
    <w:rsid w:val="00026DF9"/>
    <w:rsid w:val="000274B3"/>
    <w:rsid w:val="0003017B"/>
    <w:rsid w:val="00033936"/>
    <w:rsid w:val="000342D3"/>
    <w:rsid w:val="00034C22"/>
    <w:rsid w:val="00035658"/>
    <w:rsid w:val="000372DC"/>
    <w:rsid w:val="00037FAF"/>
    <w:rsid w:val="00040E25"/>
    <w:rsid w:val="000415B4"/>
    <w:rsid w:val="00044382"/>
    <w:rsid w:val="0004531D"/>
    <w:rsid w:val="0004600A"/>
    <w:rsid w:val="00046930"/>
    <w:rsid w:val="00046A6A"/>
    <w:rsid w:val="00046EB2"/>
    <w:rsid w:val="00051B11"/>
    <w:rsid w:val="000523F9"/>
    <w:rsid w:val="00052CC6"/>
    <w:rsid w:val="00052DE3"/>
    <w:rsid w:val="00053208"/>
    <w:rsid w:val="0005342B"/>
    <w:rsid w:val="00055183"/>
    <w:rsid w:val="00057FA3"/>
    <w:rsid w:val="000621A2"/>
    <w:rsid w:val="000636FC"/>
    <w:rsid w:val="00064BD3"/>
    <w:rsid w:val="000674B0"/>
    <w:rsid w:val="000675E7"/>
    <w:rsid w:val="00067C0B"/>
    <w:rsid w:val="0007012F"/>
    <w:rsid w:val="00071392"/>
    <w:rsid w:val="00072CEB"/>
    <w:rsid w:val="00075055"/>
    <w:rsid w:val="00075B42"/>
    <w:rsid w:val="00077376"/>
    <w:rsid w:val="00077E67"/>
    <w:rsid w:val="00080070"/>
    <w:rsid w:val="00080CC6"/>
    <w:rsid w:val="000812F0"/>
    <w:rsid w:val="00082420"/>
    <w:rsid w:val="00084766"/>
    <w:rsid w:val="00084979"/>
    <w:rsid w:val="00084A08"/>
    <w:rsid w:val="00085335"/>
    <w:rsid w:val="00086092"/>
    <w:rsid w:val="00086AC4"/>
    <w:rsid w:val="00087759"/>
    <w:rsid w:val="00090EBB"/>
    <w:rsid w:val="0009226C"/>
    <w:rsid w:val="000922DB"/>
    <w:rsid w:val="0009255A"/>
    <w:rsid w:val="000933E7"/>
    <w:rsid w:val="00094894"/>
    <w:rsid w:val="0009689E"/>
    <w:rsid w:val="000975A8"/>
    <w:rsid w:val="000A1447"/>
    <w:rsid w:val="000A4E69"/>
    <w:rsid w:val="000A6EA2"/>
    <w:rsid w:val="000A7F3E"/>
    <w:rsid w:val="000B033C"/>
    <w:rsid w:val="000B0B96"/>
    <w:rsid w:val="000B10F3"/>
    <w:rsid w:val="000B1DF8"/>
    <w:rsid w:val="000B2AF9"/>
    <w:rsid w:val="000B4354"/>
    <w:rsid w:val="000B6091"/>
    <w:rsid w:val="000B60CA"/>
    <w:rsid w:val="000B61A7"/>
    <w:rsid w:val="000B66D4"/>
    <w:rsid w:val="000B678E"/>
    <w:rsid w:val="000B7FE7"/>
    <w:rsid w:val="000C0031"/>
    <w:rsid w:val="000C02DF"/>
    <w:rsid w:val="000C0893"/>
    <w:rsid w:val="000C0A10"/>
    <w:rsid w:val="000C202D"/>
    <w:rsid w:val="000C28C4"/>
    <w:rsid w:val="000C2EBA"/>
    <w:rsid w:val="000C4854"/>
    <w:rsid w:val="000C5062"/>
    <w:rsid w:val="000C6B47"/>
    <w:rsid w:val="000C7857"/>
    <w:rsid w:val="000D14CC"/>
    <w:rsid w:val="000D4BA1"/>
    <w:rsid w:val="000D7534"/>
    <w:rsid w:val="000D798D"/>
    <w:rsid w:val="000D7AFA"/>
    <w:rsid w:val="000E0197"/>
    <w:rsid w:val="000E05D3"/>
    <w:rsid w:val="000E182F"/>
    <w:rsid w:val="000E4567"/>
    <w:rsid w:val="000E4E45"/>
    <w:rsid w:val="000F04CB"/>
    <w:rsid w:val="000F0904"/>
    <w:rsid w:val="000F17F8"/>
    <w:rsid w:val="000F21B9"/>
    <w:rsid w:val="000F281C"/>
    <w:rsid w:val="000F416B"/>
    <w:rsid w:val="000F7171"/>
    <w:rsid w:val="000F7F49"/>
    <w:rsid w:val="00102897"/>
    <w:rsid w:val="00103668"/>
    <w:rsid w:val="00104C74"/>
    <w:rsid w:val="001053B6"/>
    <w:rsid w:val="001061DC"/>
    <w:rsid w:val="00106AC0"/>
    <w:rsid w:val="00107BFD"/>
    <w:rsid w:val="00110776"/>
    <w:rsid w:val="00112D1C"/>
    <w:rsid w:val="00114151"/>
    <w:rsid w:val="0011478B"/>
    <w:rsid w:val="001148F3"/>
    <w:rsid w:val="00114DE5"/>
    <w:rsid w:val="0011551D"/>
    <w:rsid w:val="001167EC"/>
    <w:rsid w:val="0011705C"/>
    <w:rsid w:val="0012006D"/>
    <w:rsid w:val="001220AB"/>
    <w:rsid w:val="00122839"/>
    <w:rsid w:val="001257F6"/>
    <w:rsid w:val="00125D78"/>
    <w:rsid w:val="00130342"/>
    <w:rsid w:val="0013034D"/>
    <w:rsid w:val="0013100F"/>
    <w:rsid w:val="00131CC9"/>
    <w:rsid w:val="00131E77"/>
    <w:rsid w:val="00131E97"/>
    <w:rsid w:val="00132812"/>
    <w:rsid w:val="00132DA8"/>
    <w:rsid w:val="00132E23"/>
    <w:rsid w:val="0013306F"/>
    <w:rsid w:val="0013338A"/>
    <w:rsid w:val="00133E24"/>
    <w:rsid w:val="00133EEB"/>
    <w:rsid w:val="00134060"/>
    <w:rsid w:val="00134AD3"/>
    <w:rsid w:val="00137519"/>
    <w:rsid w:val="00140BC6"/>
    <w:rsid w:val="00141668"/>
    <w:rsid w:val="001427B1"/>
    <w:rsid w:val="00143F3F"/>
    <w:rsid w:val="001448C5"/>
    <w:rsid w:val="00146E17"/>
    <w:rsid w:val="001471BD"/>
    <w:rsid w:val="0015053F"/>
    <w:rsid w:val="00151698"/>
    <w:rsid w:val="00153CEF"/>
    <w:rsid w:val="00160608"/>
    <w:rsid w:val="00160804"/>
    <w:rsid w:val="00161498"/>
    <w:rsid w:val="0016219D"/>
    <w:rsid w:val="001622D0"/>
    <w:rsid w:val="0016302E"/>
    <w:rsid w:val="001631B8"/>
    <w:rsid w:val="0016389A"/>
    <w:rsid w:val="00163ADC"/>
    <w:rsid w:val="00164B66"/>
    <w:rsid w:val="00166081"/>
    <w:rsid w:val="00167D44"/>
    <w:rsid w:val="00170F0E"/>
    <w:rsid w:val="00171371"/>
    <w:rsid w:val="00171950"/>
    <w:rsid w:val="00171BDF"/>
    <w:rsid w:val="00172176"/>
    <w:rsid w:val="00172A27"/>
    <w:rsid w:val="00175085"/>
    <w:rsid w:val="00182AA4"/>
    <w:rsid w:val="00183044"/>
    <w:rsid w:val="001841DB"/>
    <w:rsid w:val="0018493F"/>
    <w:rsid w:val="0018516A"/>
    <w:rsid w:val="001855D9"/>
    <w:rsid w:val="001860A8"/>
    <w:rsid w:val="00186492"/>
    <w:rsid w:val="00190019"/>
    <w:rsid w:val="00190FB8"/>
    <w:rsid w:val="00191231"/>
    <w:rsid w:val="001923F8"/>
    <w:rsid w:val="001924AC"/>
    <w:rsid w:val="00192C79"/>
    <w:rsid w:val="001935B7"/>
    <w:rsid w:val="00193D44"/>
    <w:rsid w:val="00195061"/>
    <w:rsid w:val="0019716D"/>
    <w:rsid w:val="001973C6"/>
    <w:rsid w:val="00197577"/>
    <w:rsid w:val="001A0B51"/>
    <w:rsid w:val="001A1F05"/>
    <w:rsid w:val="001A2686"/>
    <w:rsid w:val="001A3005"/>
    <w:rsid w:val="001A43A9"/>
    <w:rsid w:val="001A4CED"/>
    <w:rsid w:val="001A78AD"/>
    <w:rsid w:val="001A7DD7"/>
    <w:rsid w:val="001B0A5A"/>
    <w:rsid w:val="001B0AF7"/>
    <w:rsid w:val="001B1933"/>
    <w:rsid w:val="001B493E"/>
    <w:rsid w:val="001B495A"/>
    <w:rsid w:val="001B50AC"/>
    <w:rsid w:val="001B6750"/>
    <w:rsid w:val="001B7828"/>
    <w:rsid w:val="001C1F6A"/>
    <w:rsid w:val="001C37A6"/>
    <w:rsid w:val="001C44DA"/>
    <w:rsid w:val="001C5319"/>
    <w:rsid w:val="001C5E5F"/>
    <w:rsid w:val="001C6079"/>
    <w:rsid w:val="001C645A"/>
    <w:rsid w:val="001C76BD"/>
    <w:rsid w:val="001C7A61"/>
    <w:rsid w:val="001D157B"/>
    <w:rsid w:val="001D19C9"/>
    <w:rsid w:val="001D1A52"/>
    <w:rsid w:val="001D1DEB"/>
    <w:rsid w:val="001D2F98"/>
    <w:rsid w:val="001D3ECA"/>
    <w:rsid w:val="001D6B7C"/>
    <w:rsid w:val="001D77AF"/>
    <w:rsid w:val="001E028D"/>
    <w:rsid w:val="001E031E"/>
    <w:rsid w:val="001E0694"/>
    <w:rsid w:val="001E086C"/>
    <w:rsid w:val="001E1ECE"/>
    <w:rsid w:val="001E2FD4"/>
    <w:rsid w:val="001E39BD"/>
    <w:rsid w:val="001E41B0"/>
    <w:rsid w:val="001E41BF"/>
    <w:rsid w:val="001E4201"/>
    <w:rsid w:val="001E5CA8"/>
    <w:rsid w:val="001E6C60"/>
    <w:rsid w:val="001E7C93"/>
    <w:rsid w:val="001F0002"/>
    <w:rsid w:val="001F2820"/>
    <w:rsid w:val="001F2CB9"/>
    <w:rsid w:val="001F3296"/>
    <w:rsid w:val="001F463B"/>
    <w:rsid w:val="001F4CA1"/>
    <w:rsid w:val="001F58E0"/>
    <w:rsid w:val="001F5F47"/>
    <w:rsid w:val="001F6BD5"/>
    <w:rsid w:val="001F7518"/>
    <w:rsid w:val="00201941"/>
    <w:rsid w:val="00202447"/>
    <w:rsid w:val="00202505"/>
    <w:rsid w:val="00202D46"/>
    <w:rsid w:val="00204286"/>
    <w:rsid w:val="00206529"/>
    <w:rsid w:val="00206815"/>
    <w:rsid w:val="0020728B"/>
    <w:rsid w:val="00210BB3"/>
    <w:rsid w:val="002118B0"/>
    <w:rsid w:val="00211B18"/>
    <w:rsid w:val="0021375C"/>
    <w:rsid w:val="00214A84"/>
    <w:rsid w:val="00214EF6"/>
    <w:rsid w:val="00214FE0"/>
    <w:rsid w:val="00215480"/>
    <w:rsid w:val="002157DC"/>
    <w:rsid w:val="00215E76"/>
    <w:rsid w:val="002160A4"/>
    <w:rsid w:val="00217506"/>
    <w:rsid w:val="0022195A"/>
    <w:rsid w:val="002248F5"/>
    <w:rsid w:val="002264A7"/>
    <w:rsid w:val="00231124"/>
    <w:rsid w:val="002315FE"/>
    <w:rsid w:val="00231DB1"/>
    <w:rsid w:val="00233AD9"/>
    <w:rsid w:val="0023498B"/>
    <w:rsid w:val="0023692A"/>
    <w:rsid w:val="00240CB1"/>
    <w:rsid w:val="00241B74"/>
    <w:rsid w:val="00242031"/>
    <w:rsid w:val="00242A2B"/>
    <w:rsid w:val="00242A3C"/>
    <w:rsid w:val="00242B9A"/>
    <w:rsid w:val="00242D7E"/>
    <w:rsid w:val="00243C19"/>
    <w:rsid w:val="00244FDC"/>
    <w:rsid w:val="00246186"/>
    <w:rsid w:val="0025192B"/>
    <w:rsid w:val="002530AB"/>
    <w:rsid w:val="0025376A"/>
    <w:rsid w:val="00253D34"/>
    <w:rsid w:val="00254002"/>
    <w:rsid w:val="002540EF"/>
    <w:rsid w:val="00255800"/>
    <w:rsid w:val="00256428"/>
    <w:rsid w:val="00261420"/>
    <w:rsid w:val="002625FF"/>
    <w:rsid w:val="00262B93"/>
    <w:rsid w:val="00263CA0"/>
    <w:rsid w:val="002658EA"/>
    <w:rsid w:val="00266403"/>
    <w:rsid w:val="00267E70"/>
    <w:rsid w:val="002707D9"/>
    <w:rsid w:val="00270C89"/>
    <w:rsid w:val="00271489"/>
    <w:rsid w:val="00272608"/>
    <w:rsid w:val="002726F9"/>
    <w:rsid w:val="00273B87"/>
    <w:rsid w:val="0027414D"/>
    <w:rsid w:val="00274A64"/>
    <w:rsid w:val="002752F6"/>
    <w:rsid w:val="00275472"/>
    <w:rsid w:val="00275DEF"/>
    <w:rsid w:val="00276EF9"/>
    <w:rsid w:val="00281B6B"/>
    <w:rsid w:val="0028391A"/>
    <w:rsid w:val="002843C1"/>
    <w:rsid w:val="002848F6"/>
    <w:rsid w:val="00284900"/>
    <w:rsid w:val="00285367"/>
    <w:rsid w:val="00287DC9"/>
    <w:rsid w:val="00290D8C"/>
    <w:rsid w:val="00291635"/>
    <w:rsid w:val="00294330"/>
    <w:rsid w:val="00294EB5"/>
    <w:rsid w:val="00295AB2"/>
    <w:rsid w:val="00295E29"/>
    <w:rsid w:val="00297F7D"/>
    <w:rsid w:val="002A0524"/>
    <w:rsid w:val="002A1ACF"/>
    <w:rsid w:val="002A26EE"/>
    <w:rsid w:val="002A331D"/>
    <w:rsid w:val="002A4378"/>
    <w:rsid w:val="002A470D"/>
    <w:rsid w:val="002A51CD"/>
    <w:rsid w:val="002A57D0"/>
    <w:rsid w:val="002A6751"/>
    <w:rsid w:val="002A6C98"/>
    <w:rsid w:val="002A755C"/>
    <w:rsid w:val="002A7E28"/>
    <w:rsid w:val="002B057D"/>
    <w:rsid w:val="002B09FE"/>
    <w:rsid w:val="002B2D8F"/>
    <w:rsid w:val="002B4E3A"/>
    <w:rsid w:val="002B56D6"/>
    <w:rsid w:val="002B6A1F"/>
    <w:rsid w:val="002B6BBC"/>
    <w:rsid w:val="002B7025"/>
    <w:rsid w:val="002B7C93"/>
    <w:rsid w:val="002C0ECB"/>
    <w:rsid w:val="002C23BB"/>
    <w:rsid w:val="002C29EC"/>
    <w:rsid w:val="002C30B3"/>
    <w:rsid w:val="002C32E0"/>
    <w:rsid w:val="002C446D"/>
    <w:rsid w:val="002C5B0A"/>
    <w:rsid w:val="002C6B96"/>
    <w:rsid w:val="002C6BB9"/>
    <w:rsid w:val="002C7321"/>
    <w:rsid w:val="002C7904"/>
    <w:rsid w:val="002D1264"/>
    <w:rsid w:val="002D1F1C"/>
    <w:rsid w:val="002D2986"/>
    <w:rsid w:val="002D60BD"/>
    <w:rsid w:val="002D6125"/>
    <w:rsid w:val="002E03A5"/>
    <w:rsid w:val="002E056C"/>
    <w:rsid w:val="002E15A8"/>
    <w:rsid w:val="002E2723"/>
    <w:rsid w:val="002E3369"/>
    <w:rsid w:val="002E4DC4"/>
    <w:rsid w:val="002E606B"/>
    <w:rsid w:val="002F1805"/>
    <w:rsid w:val="002F243D"/>
    <w:rsid w:val="002F2958"/>
    <w:rsid w:val="002F2FA5"/>
    <w:rsid w:val="002F3AE2"/>
    <w:rsid w:val="002F4589"/>
    <w:rsid w:val="002F45D5"/>
    <w:rsid w:val="002F55B6"/>
    <w:rsid w:val="002F5873"/>
    <w:rsid w:val="002F5C6D"/>
    <w:rsid w:val="002F699C"/>
    <w:rsid w:val="002F6F1B"/>
    <w:rsid w:val="0030074B"/>
    <w:rsid w:val="00301C16"/>
    <w:rsid w:val="00302471"/>
    <w:rsid w:val="0030299F"/>
    <w:rsid w:val="00303A26"/>
    <w:rsid w:val="00303C57"/>
    <w:rsid w:val="00305A0F"/>
    <w:rsid w:val="00306110"/>
    <w:rsid w:val="00306435"/>
    <w:rsid w:val="003067BC"/>
    <w:rsid w:val="00311381"/>
    <w:rsid w:val="00312A1C"/>
    <w:rsid w:val="003145D4"/>
    <w:rsid w:val="00315674"/>
    <w:rsid w:val="00315A20"/>
    <w:rsid w:val="00315E48"/>
    <w:rsid w:val="00317723"/>
    <w:rsid w:val="00321AFC"/>
    <w:rsid w:val="00323B43"/>
    <w:rsid w:val="003258E4"/>
    <w:rsid w:val="00325C1B"/>
    <w:rsid w:val="0032713A"/>
    <w:rsid w:val="00327341"/>
    <w:rsid w:val="0032769D"/>
    <w:rsid w:val="00331C91"/>
    <w:rsid w:val="003327F8"/>
    <w:rsid w:val="00334A7A"/>
    <w:rsid w:val="003362D9"/>
    <w:rsid w:val="00336AC1"/>
    <w:rsid w:val="0033781C"/>
    <w:rsid w:val="00340124"/>
    <w:rsid w:val="003402EC"/>
    <w:rsid w:val="00340891"/>
    <w:rsid w:val="00340B5A"/>
    <w:rsid w:val="00341724"/>
    <w:rsid w:val="0034194B"/>
    <w:rsid w:val="003436C0"/>
    <w:rsid w:val="003439CC"/>
    <w:rsid w:val="00343F46"/>
    <w:rsid w:val="003446A1"/>
    <w:rsid w:val="003458F9"/>
    <w:rsid w:val="00347585"/>
    <w:rsid w:val="00347675"/>
    <w:rsid w:val="00352435"/>
    <w:rsid w:val="00352832"/>
    <w:rsid w:val="00352A51"/>
    <w:rsid w:val="003532A4"/>
    <w:rsid w:val="003534C1"/>
    <w:rsid w:val="0035421E"/>
    <w:rsid w:val="00357DB3"/>
    <w:rsid w:val="00357F34"/>
    <w:rsid w:val="003645E8"/>
    <w:rsid w:val="00364C07"/>
    <w:rsid w:val="003652BE"/>
    <w:rsid w:val="00367E58"/>
    <w:rsid w:val="00370528"/>
    <w:rsid w:val="003720DF"/>
    <w:rsid w:val="00373964"/>
    <w:rsid w:val="00373A06"/>
    <w:rsid w:val="00374964"/>
    <w:rsid w:val="003763A6"/>
    <w:rsid w:val="003769C6"/>
    <w:rsid w:val="00376B13"/>
    <w:rsid w:val="00380652"/>
    <w:rsid w:val="003806E3"/>
    <w:rsid w:val="0038242A"/>
    <w:rsid w:val="003826D2"/>
    <w:rsid w:val="0038431A"/>
    <w:rsid w:val="00386972"/>
    <w:rsid w:val="003872BD"/>
    <w:rsid w:val="00390391"/>
    <w:rsid w:val="00390957"/>
    <w:rsid w:val="00390F9B"/>
    <w:rsid w:val="00393E09"/>
    <w:rsid w:val="003965A5"/>
    <w:rsid w:val="003978FB"/>
    <w:rsid w:val="00397F92"/>
    <w:rsid w:val="003A179F"/>
    <w:rsid w:val="003A2E3B"/>
    <w:rsid w:val="003A3749"/>
    <w:rsid w:val="003A3BF9"/>
    <w:rsid w:val="003A530A"/>
    <w:rsid w:val="003A5682"/>
    <w:rsid w:val="003A651D"/>
    <w:rsid w:val="003A6B97"/>
    <w:rsid w:val="003B1A94"/>
    <w:rsid w:val="003B1C7B"/>
    <w:rsid w:val="003B1F11"/>
    <w:rsid w:val="003B2988"/>
    <w:rsid w:val="003B51EA"/>
    <w:rsid w:val="003B5853"/>
    <w:rsid w:val="003B5B15"/>
    <w:rsid w:val="003B7452"/>
    <w:rsid w:val="003B7992"/>
    <w:rsid w:val="003C00F3"/>
    <w:rsid w:val="003C0328"/>
    <w:rsid w:val="003C08DB"/>
    <w:rsid w:val="003C31C0"/>
    <w:rsid w:val="003C3B85"/>
    <w:rsid w:val="003C3C1F"/>
    <w:rsid w:val="003C6030"/>
    <w:rsid w:val="003C6D6B"/>
    <w:rsid w:val="003C7C0C"/>
    <w:rsid w:val="003C7D9D"/>
    <w:rsid w:val="003D157A"/>
    <w:rsid w:val="003D1658"/>
    <w:rsid w:val="003D2D08"/>
    <w:rsid w:val="003D37D8"/>
    <w:rsid w:val="003D3D57"/>
    <w:rsid w:val="003D42C5"/>
    <w:rsid w:val="003D4486"/>
    <w:rsid w:val="003D4506"/>
    <w:rsid w:val="003D5F1F"/>
    <w:rsid w:val="003D68BD"/>
    <w:rsid w:val="003E0A4F"/>
    <w:rsid w:val="003E0BF5"/>
    <w:rsid w:val="003E2953"/>
    <w:rsid w:val="003E3D85"/>
    <w:rsid w:val="003E4AF8"/>
    <w:rsid w:val="003E4FD3"/>
    <w:rsid w:val="003E504A"/>
    <w:rsid w:val="003E5050"/>
    <w:rsid w:val="003E536A"/>
    <w:rsid w:val="003E53D5"/>
    <w:rsid w:val="003E6147"/>
    <w:rsid w:val="003E71E8"/>
    <w:rsid w:val="003F05A1"/>
    <w:rsid w:val="003F1351"/>
    <w:rsid w:val="003F2D35"/>
    <w:rsid w:val="003F2EAC"/>
    <w:rsid w:val="003F61E6"/>
    <w:rsid w:val="004010A5"/>
    <w:rsid w:val="00402342"/>
    <w:rsid w:val="004039F3"/>
    <w:rsid w:val="00404E66"/>
    <w:rsid w:val="00404E75"/>
    <w:rsid w:val="004065B5"/>
    <w:rsid w:val="00407D43"/>
    <w:rsid w:val="004113B8"/>
    <w:rsid w:val="004113E0"/>
    <w:rsid w:val="004115BC"/>
    <w:rsid w:val="0041425D"/>
    <w:rsid w:val="004167DC"/>
    <w:rsid w:val="00416E49"/>
    <w:rsid w:val="00417EA9"/>
    <w:rsid w:val="00417F7D"/>
    <w:rsid w:val="004215BC"/>
    <w:rsid w:val="004246A7"/>
    <w:rsid w:val="00425343"/>
    <w:rsid w:val="00426133"/>
    <w:rsid w:val="0042716C"/>
    <w:rsid w:val="00427821"/>
    <w:rsid w:val="004357AC"/>
    <w:rsid w:val="004358AB"/>
    <w:rsid w:val="00437441"/>
    <w:rsid w:val="00444E0D"/>
    <w:rsid w:val="00445A3B"/>
    <w:rsid w:val="0044601F"/>
    <w:rsid w:val="0045075F"/>
    <w:rsid w:val="004510BE"/>
    <w:rsid w:val="00452AF9"/>
    <w:rsid w:val="00453320"/>
    <w:rsid w:val="00453A13"/>
    <w:rsid w:val="00455812"/>
    <w:rsid w:val="00456038"/>
    <w:rsid w:val="00457518"/>
    <w:rsid w:val="00462AD7"/>
    <w:rsid w:val="00464836"/>
    <w:rsid w:val="00465675"/>
    <w:rsid w:val="00466124"/>
    <w:rsid w:val="00466274"/>
    <w:rsid w:val="00466C79"/>
    <w:rsid w:val="004677C1"/>
    <w:rsid w:val="00471A4A"/>
    <w:rsid w:val="00472291"/>
    <w:rsid w:val="004728EA"/>
    <w:rsid w:val="00474A42"/>
    <w:rsid w:val="0047609A"/>
    <w:rsid w:val="00476325"/>
    <w:rsid w:val="00482B88"/>
    <w:rsid w:val="0048484E"/>
    <w:rsid w:val="004859DC"/>
    <w:rsid w:val="00486D00"/>
    <w:rsid w:val="00486FAD"/>
    <w:rsid w:val="004904C8"/>
    <w:rsid w:val="00490FC6"/>
    <w:rsid w:val="00490FE4"/>
    <w:rsid w:val="004916B6"/>
    <w:rsid w:val="00491D5E"/>
    <w:rsid w:val="00493840"/>
    <w:rsid w:val="004948C3"/>
    <w:rsid w:val="00494AFC"/>
    <w:rsid w:val="0049662C"/>
    <w:rsid w:val="00496EE0"/>
    <w:rsid w:val="004A034C"/>
    <w:rsid w:val="004A0661"/>
    <w:rsid w:val="004A2105"/>
    <w:rsid w:val="004A42E1"/>
    <w:rsid w:val="004A4419"/>
    <w:rsid w:val="004A63FA"/>
    <w:rsid w:val="004B178A"/>
    <w:rsid w:val="004B37C1"/>
    <w:rsid w:val="004B3943"/>
    <w:rsid w:val="004B5845"/>
    <w:rsid w:val="004B7F0F"/>
    <w:rsid w:val="004C1162"/>
    <w:rsid w:val="004C11FF"/>
    <w:rsid w:val="004C1335"/>
    <w:rsid w:val="004C3D44"/>
    <w:rsid w:val="004C6029"/>
    <w:rsid w:val="004C6B5E"/>
    <w:rsid w:val="004C6DFF"/>
    <w:rsid w:val="004D02DC"/>
    <w:rsid w:val="004D099E"/>
    <w:rsid w:val="004D1133"/>
    <w:rsid w:val="004D24C0"/>
    <w:rsid w:val="004D38B6"/>
    <w:rsid w:val="004D4059"/>
    <w:rsid w:val="004D55DA"/>
    <w:rsid w:val="004D592D"/>
    <w:rsid w:val="004D649F"/>
    <w:rsid w:val="004D64CC"/>
    <w:rsid w:val="004D7E64"/>
    <w:rsid w:val="004D7E7C"/>
    <w:rsid w:val="004E0009"/>
    <w:rsid w:val="004E0A7B"/>
    <w:rsid w:val="004E16CA"/>
    <w:rsid w:val="004E1D2A"/>
    <w:rsid w:val="004E2F38"/>
    <w:rsid w:val="004E325D"/>
    <w:rsid w:val="004E4181"/>
    <w:rsid w:val="004E52F0"/>
    <w:rsid w:val="004E69D2"/>
    <w:rsid w:val="004F16A0"/>
    <w:rsid w:val="004F3ED8"/>
    <w:rsid w:val="004F468C"/>
    <w:rsid w:val="004F4708"/>
    <w:rsid w:val="004F70BD"/>
    <w:rsid w:val="0050013F"/>
    <w:rsid w:val="005003FD"/>
    <w:rsid w:val="00501B63"/>
    <w:rsid w:val="00501F9D"/>
    <w:rsid w:val="005025E2"/>
    <w:rsid w:val="005028C9"/>
    <w:rsid w:val="005040DE"/>
    <w:rsid w:val="0050787D"/>
    <w:rsid w:val="005102C1"/>
    <w:rsid w:val="005131B3"/>
    <w:rsid w:val="005157DA"/>
    <w:rsid w:val="005158B3"/>
    <w:rsid w:val="00517676"/>
    <w:rsid w:val="00521117"/>
    <w:rsid w:val="00522783"/>
    <w:rsid w:val="005234DB"/>
    <w:rsid w:val="005254FB"/>
    <w:rsid w:val="00525F31"/>
    <w:rsid w:val="00526B22"/>
    <w:rsid w:val="00527262"/>
    <w:rsid w:val="0052781E"/>
    <w:rsid w:val="00530179"/>
    <w:rsid w:val="0053204D"/>
    <w:rsid w:val="00533E22"/>
    <w:rsid w:val="00534DA8"/>
    <w:rsid w:val="00535D02"/>
    <w:rsid w:val="00537665"/>
    <w:rsid w:val="005400FE"/>
    <w:rsid w:val="00540323"/>
    <w:rsid w:val="00540718"/>
    <w:rsid w:val="00541634"/>
    <w:rsid w:val="00541B29"/>
    <w:rsid w:val="00541F2B"/>
    <w:rsid w:val="00541F6A"/>
    <w:rsid w:val="00542D51"/>
    <w:rsid w:val="00545439"/>
    <w:rsid w:val="0055128D"/>
    <w:rsid w:val="005515C4"/>
    <w:rsid w:val="00552320"/>
    <w:rsid w:val="00552E42"/>
    <w:rsid w:val="00552ED2"/>
    <w:rsid w:val="005536BB"/>
    <w:rsid w:val="00553E74"/>
    <w:rsid w:val="00556CD6"/>
    <w:rsid w:val="005600DB"/>
    <w:rsid w:val="0056045E"/>
    <w:rsid w:val="005628EE"/>
    <w:rsid w:val="00562C17"/>
    <w:rsid w:val="00563E3D"/>
    <w:rsid w:val="005669FD"/>
    <w:rsid w:val="00567DA1"/>
    <w:rsid w:val="005700C1"/>
    <w:rsid w:val="00570388"/>
    <w:rsid w:val="00570F8A"/>
    <w:rsid w:val="00574007"/>
    <w:rsid w:val="00576FEA"/>
    <w:rsid w:val="005774FF"/>
    <w:rsid w:val="00577C90"/>
    <w:rsid w:val="005810FA"/>
    <w:rsid w:val="00581629"/>
    <w:rsid w:val="0058315C"/>
    <w:rsid w:val="00586674"/>
    <w:rsid w:val="00587CC6"/>
    <w:rsid w:val="00590F99"/>
    <w:rsid w:val="00591391"/>
    <w:rsid w:val="00592246"/>
    <w:rsid w:val="00594279"/>
    <w:rsid w:val="005A1A16"/>
    <w:rsid w:val="005A2113"/>
    <w:rsid w:val="005A2643"/>
    <w:rsid w:val="005A40A4"/>
    <w:rsid w:val="005A5133"/>
    <w:rsid w:val="005A5E0A"/>
    <w:rsid w:val="005B14C1"/>
    <w:rsid w:val="005B29B5"/>
    <w:rsid w:val="005B4058"/>
    <w:rsid w:val="005B445D"/>
    <w:rsid w:val="005B5850"/>
    <w:rsid w:val="005B5FC8"/>
    <w:rsid w:val="005C0551"/>
    <w:rsid w:val="005C518B"/>
    <w:rsid w:val="005C51B9"/>
    <w:rsid w:val="005C5910"/>
    <w:rsid w:val="005C717A"/>
    <w:rsid w:val="005C7DC0"/>
    <w:rsid w:val="005D0087"/>
    <w:rsid w:val="005D033B"/>
    <w:rsid w:val="005D051A"/>
    <w:rsid w:val="005D16C7"/>
    <w:rsid w:val="005D1DD2"/>
    <w:rsid w:val="005D27B8"/>
    <w:rsid w:val="005D2ABD"/>
    <w:rsid w:val="005D361D"/>
    <w:rsid w:val="005D3B9F"/>
    <w:rsid w:val="005D4974"/>
    <w:rsid w:val="005D562F"/>
    <w:rsid w:val="005D5AE6"/>
    <w:rsid w:val="005D68FC"/>
    <w:rsid w:val="005E00FC"/>
    <w:rsid w:val="005E175F"/>
    <w:rsid w:val="005E4261"/>
    <w:rsid w:val="005F170E"/>
    <w:rsid w:val="005F284C"/>
    <w:rsid w:val="005F3421"/>
    <w:rsid w:val="005F420C"/>
    <w:rsid w:val="005F60C8"/>
    <w:rsid w:val="005F7F24"/>
    <w:rsid w:val="00601705"/>
    <w:rsid w:val="006018E0"/>
    <w:rsid w:val="00601E42"/>
    <w:rsid w:val="00602A8C"/>
    <w:rsid w:val="006033DA"/>
    <w:rsid w:val="00603C9E"/>
    <w:rsid w:val="00603FC7"/>
    <w:rsid w:val="006074A5"/>
    <w:rsid w:val="006107E7"/>
    <w:rsid w:val="0061310A"/>
    <w:rsid w:val="0061663B"/>
    <w:rsid w:val="00616C6B"/>
    <w:rsid w:val="006208A4"/>
    <w:rsid w:val="00620CF3"/>
    <w:rsid w:val="00621043"/>
    <w:rsid w:val="00621C0C"/>
    <w:rsid w:val="00621DF1"/>
    <w:rsid w:val="006221EB"/>
    <w:rsid w:val="006229DE"/>
    <w:rsid w:val="00624599"/>
    <w:rsid w:val="006258E0"/>
    <w:rsid w:val="00625A2A"/>
    <w:rsid w:val="006277D2"/>
    <w:rsid w:val="006278CC"/>
    <w:rsid w:val="00630158"/>
    <w:rsid w:val="006310DD"/>
    <w:rsid w:val="00631171"/>
    <w:rsid w:val="006317F2"/>
    <w:rsid w:val="0063207B"/>
    <w:rsid w:val="0063222A"/>
    <w:rsid w:val="006337F7"/>
    <w:rsid w:val="00635270"/>
    <w:rsid w:val="00635764"/>
    <w:rsid w:val="006363B1"/>
    <w:rsid w:val="00640103"/>
    <w:rsid w:val="006428D5"/>
    <w:rsid w:val="00643CD2"/>
    <w:rsid w:val="0064617F"/>
    <w:rsid w:val="00646941"/>
    <w:rsid w:val="00646D6A"/>
    <w:rsid w:val="0064776D"/>
    <w:rsid w:val="0065042C"/>
    <w:rsid w:val="00652BFB"/>
    <w:rsid w:val="00652F68"/>
    <w:rsid w:val="006537EB"/>
    <w:rsid w:val="00656AB7"/>
    <w:rsid w:val="00656E4D"/>
    <w:rsid w:val="00662696"/>
    <w:rsid w:val="00664473"/>
    <w:rsid w:val="00665634"/>
    <w:rsid w:val="006658E6"/>
    <w:rsid w:val="00670343"/>
    <w:rsid w:val="00671347"/>
    <w:rsid w:val="006735F6"/>
    <w:rsid w:val="006743A7"/>
    <w:rsid w:val="006747E0"/>
    <w:rsid w:val="00675465"/>
    <w:rsid w:val="006766B4"/>
    <w:rsid w:val="00680623"/>
    <w:rsid w:val="00681706"/>
    <w:rsid w:val="006824BE"/>
    <w:rsid w:val="00682E53"/>
    <w:rsid w:val="006835F1"/>
    <w:rsid w:val="00684610"/>
    <w:rsid w:val="006860F6"/>
    <w:rsid w:val="006861F9"/>
    <w:rsid w:val="00686314"/>
    <w:rsid w:val="00686848"/>
    <w:rsid w:val="00686A65"/>
    <w:rsid w:val="00687180"/>
    <w:rsid w:val="00690674"/>
    <w:rsid w:val="00690C90"/>
    <w:rsid w:val="006918FA"/>
    <w:rsid w:val="00691B1B"/>
    <w:rsid w:val="00692330"/>
    <w:rsid w:val="00694B64"/>
    <w:rsid w:val="006959A9"/>
    <w:rsid w:val="006A0733"/>
    <w:rsid w:val="006A0E5C"/>
    <w:rsid w:val="006A1831"/>
    <w:rsid w:val="006A1E01"/>
    <w:rsid w:val="006A1E5B"/>
    <w:rsid w:val="006A242B"/>
    <w:rsid w:val="006A345D"/>
    <w:rsid w:val="006A3FB4"/>
    <w:rsid w:val="006A4642"/>
    <w:rsid w:val="006A4BB0"/>
    <w:rsid w:val="006A4BE2"/>
    <w:rsid w:val="006A5748"/>
    <w:rsid w:val="006A632F"/>
    <w:rsid w:val="006B02C1"/>
    <w:rsid w:val="006B22DC"/>
    <w:rsid w:val="006B28FD"/>
    <w:rsid w:val="006B2C41"/>
    <w:rsid w:val="006B37E5"/>
    <w:rsid w:val="006B3B97"/>
    <w:rsid w:val="006B3C2D"/>
    <w:rsid w:val="006B5188"/>
    <w:rsid w:val="006B6582"/>
    <w:rsid w:val="006B6BFC"/>
    <w:rsid w:val="006B7B69"/>
    <w:rsid w:val="006C197F"/>
    <w:rsid w:val="006C1B80"/>
    <w:rsid w:val="006C30E6"/>
    <w:rsid w:val="006C37BA"/>
    <w:rsid w:val="006C5441"/>
    <w:rsid w:val="006C5C29"/>
    <w:rsid w:val="006C76FE"/>
    <w:rsid w:val="006D3444"/>
    <w:rsid w:val="006D36ED"/>
    <w:rsid w:val="006D3D8D"/>
    <w:rsid w:val="006D3F61"/>
    <w:rsid w:val="006D4037"/>
    <w:rsid w:val="006D52D8"/>
    <w:rsid w:val="006D5814"/>
    <w:rsid w:val="006D7A03"/>
    <w:rsid w:val="006E0116"/>
    <w:rsid w:val="006E0CF9"/>
    <w:rsid w:val="006E1381"/>
    <w:rsid w:val="006E4FCE"/>
    <w:rsid w:val="006E57AF"/>
    <w:rsid w:val="006E5D73"/>
    <w:rsid w:val="006E6246"/>
    <w:rsid w:val="006F0886"/>
    <w:rsid w:val="006F10C7"/>
    <w:rsid w:val="006F112A"/>
    <w:rsid w:val="006F1A87"/>
    <w:rsid w:val="006F2BAE"/>
    <w:rsid w:val="006F36B2"/>
    <w:rsid w:val="006F3DCA"/>
    <w:rsid w:val="006F3F28"/>
    <w:rsid w:val="006F43B8"/>
    <w:rsid w:val="00702063"/>
    <w:rsid w:val="007025B2"/>
    <w:rsid w:val="00702C2D"/>
    <w:rsid w:val="007051FF"/>
    <w:rsid w:val="00705653"/>
    <w:rsid w:val="00706A70"/>
    <w:rsid w:val="00707964"/>
    <w:rsid w:val="00710D69"/>
    <w:rsid w:val="007115AC"/>
    <w:rsid w:val="00711D30"/>
    <w:rsid w:val="00712B90"/>
    <w:rsid w:val="00713719"/>
    <w:rsid w:val="00713A32"/>
    <w:rsid w:val="00714E8E"/>
    <w:rsid w:val="007162EF"/>
    <w:rsid w:val="00720B4C"/>
    <w:rsid w:val="00720CBF"/>
    <w:rsid w:val="00721B35"/>
    <w:rsid w:val="00723354"/>
    <w:rsid w:val="00723E8D"/>
    <w:rsid w:val="007253EE"/>
    <w:rsid w:val="00725786"/>
    <w:rsid w:val="00726A14"/>
    <w:rsid w:val="00727481"/>
    <w:rsid w:val="007275F8"/>
    <w:rsid w:val="00727948"/>
    <w:rsid w:val="00727CE9"/>
    <w:rsid w:val="00727DC6"/>
    <w:rsid w:val="00731B27"/>
    <w:rsid w:val="007324D4"/>
    <w:rsid w:val="007336AA"/>
    <w:rsid w:val="00734CC7"/>
    <w:rsid w:val="00737D0E"/>
    <w:rsid w:val="00737E41"/>
    <w:rsid w:val="00740DF8"/>
    <w:rsid w:val="00741854"/>
    <w:rsid w:val="007418B6"/>
    <w:rsid w:val="00742D97"/>
    <w:rsid w:val="007439C9"/>
    <w:rsid w:val="0074561B"/>
    <w:rsid w:val="00745953"/>
    <w:rsid w:val="00745C6A"/>
    <w:rsid w:val="00746131"/>
    <w:rsid w:val="0074763B"/>
    <w:rsid w:val="00750F1B"/>
    <w:rsid w:val="007515ED"/>
    <w:rsid w:val="00751F46"/>
    <w:rsid w:val="00753BB1"/>
    <w:rsid w:val="0075412A"/>
    <w:rsid w:val="00754D0F"/>
    <w:rsid w:val="00754D84"/>
    <w:rsid w:val="00755561"/>
    <w:rsid w:val="00755A2F"/>
    <w:rsid w:val="00755B2A"/>
    <w:rsid w:val="00755D14"/>
    <w:rsid w:val="00755D3E"/>
    <w:rsid w:val="00757F76"/>
    <w:rsid w:val="00761BB1"/>
    <w:rsid w:val="007627A7"/>
    <w:rsid w:val="00762A22"/>
    <w:rsid w:val="00762BB5"/>
    <w:rsid w:val="007641F6"/>
    <w:rsid w:val="00765AE2"/>
    <w:rsid w:val="00770368"/>
    <w:rsid w:val="00770CA1"/>
    <w:rsid w:val="00770F5D"/>
    <w:rsid w:val="00771562"/>
    <w:rsid w:val="00782A59"/>
    <w:rsid w:val="00783A8B"/>
    <w:rsid w:val="00783BA7"/>
    <w:rsid w:val="00783CA3"/>
    <w:rsid w:val="00783EE3"/>
    <w:rsid w:val="007847C8"/>
    <w:rsid w:val="00784924"/>
    <w:rsid w:val="00785AA4"/>
    <w:rsid w:val="00787B2D"/>
    <w:rsid w:val="0079261F"/>
    <w:rsid w:val="0079330C"/>
    <w:rsid w:val="007946B6"/>
    <w:rsid w:val="00794FEC"/>
    <w:rsid w:val="00795374"/>
    <w:rsid w:val="007A0D9F"/>
    <w:rsid w:val="007A6152"/>
    <w:rsid w:val="007A6636"/>
    <w:rsid w:val="007A684F"/>
    <w:rsid w:val="007A6C26"/>
    <w:rsid w:val="007A7EEA"/>
    <w:rsid w:val="007B3504"/>
    <w:rsid w:val="007B52ED"/>
    <w:rsid w:val="007B5771"/>
    <w:rsid w:val="007B5A9A"/>
    <w:rsid w:val="007B5B39"/>
    <w:rsid w:val="007B6001"/>
    <w:rsid w:val="007B657B"/>
    <w:rsid w:val="007C11B0"/>
    <w:rsid w:val="007C1FE3"/>
    <w:rsid w:val="007C2182"/>
    <w:rsid w:val="007C4076"/>
    <w:rsid w:val="007C632C"/>
    <w:rsid w:val="007C661A"/>
    <w:rsid w:val="007C7BDA"/>
    <w:rsid w:val="007D1397"/>
    <w:rsid w:val="007D182D"/>
    <w:rsid w:val="007D1EF7"/>
    <w:rsid w:val="007D1F87"/>
    <w:rsid w:val="007D3871"/>
    <w:rsid w:val="007D38D4"/>
    <w:rsid w:val="007D543B"/>
    <w:rsid w:val="007D732C"/>
    <w:rsid w:val="007D73EC"/>
    <w:rsid w:val="007D76BD"/>
    <w:rsid w:val="007E3A9E"/>
    <w:rsid w:val="007E49DB"/>
    <w:rsid w:val="007E4CB6"/>
    <w:rsid w:val="007E563B"/>
    <w:rsid w:val="007E7B07"/>
    <w:rsid w:val="007F1DA6"/>
    <w:rsid w:val="007F1EF9"/>
    <w:rsid w:val="007F221F"/>
    <w:rsid w:val="007F2234"/>
    <w:rsid w:val="007F2D3E"/>
    <w:rsid w:val="007F4473"/>
    <w:rsid w:val="007F6252"/>
    <w:rsid w:val="008002FD"/>
    <w:rsid w:val="00800735"/>
    <w:rsid w:val="008024B6"/>
    <w:rsid w:val="008079D8"/>
    <w:rsid w:val="00811031"/>
    <w:rsid w:val="00811BB8"/>
    <w:rsid w:val="00815F60"/>
    <w:rsid w:val="00820CB7"/>
    <w:rsid w:val="00821503"/>
    <w:rsid w:val="00822C95"/>
    <w:rsid w:val="00824D22"/>
    <w:rsid w:val="00824DDB"/>
    <w:rsid w:val="00825960"/>
    <w:rsid w:val="00826DAD"/>
    <w:rsid w:val="008303CD"/>
    <w:rsid w:val="0083045F"/>
    <w:rsid w:val="00830C3F"/>
    <w:rsid w:val="00831B1C"/>
    <w:rsid w:val="00831CE2"/>
    <w:rsid w:val="00832985"/>
    <w:rsid w:val="00833285"/>
    <w:rsid w:val="00836304"/>
    <w:rsid w:val="008364FE"/>
    <w:rsid w:val="008375E3"/>
    <w:rsid w:val="00837D81"/>
    <w:rsid w:val="008414B5"/>
    <w:rsid w:val="008447FD"/>
    <w:rsid w:val="00846921"/>
    <w:rsid w:val="0084733E"/>
    <w:rsid w:val="00847870"/>
    <w:rsid w:val="00850DDA"/>
    <w:rsid w:val="00851078"/>
    <w:rsid w:val="008511D2"/>
    <w:rsid w:val="008516D0"/>
    <w:rsid w:val="00851F6F"/>
    <w:rsid w:val="0085238B"/>
    <w:rsid w:val="00852421"/>
    <w:rsid w:val="0085361D"/>
    <w:rsid w:val="008577AD"/>
    <w:rsid w:val="0086038A"/>
    <w:rsid w:val="008603CB"/>
    <w:rsid w:val="00860935"/>
    <w:rsid w:val="00861878"/>
    <w:rsid w:val="00861C1C"/>
    <w:rsid w:val="00861C33"/>
    <w:rsid w:val="008640EC"/>
    <w:rsid w:val="0086481A"/>
    <w:rsid w:val="00866996"/>
    <w:rsid w:val="00866D3C"/>
    <w:rsid w:val="00866D5F"/>
    <w:rsid w:val="008706C3"/>
    <w:rsid w:val="008713DB"/>
    <w:rsid w:val="00873F1B"/>
    <w:rsid w:val="00874B22"/>
    <w:rsid w:val="00880FEA"/>
    <w:rsid w:val="00881B9A"/>
    <w:rsid w:val="00881C4F"/>
    <w:rsid w:val="0088292D"/>
    <w:rsid w:val="008830B1"/>
    <w:rsid w:val="008837B8"/>
    <w:rsid w:val="008845CE"/>
    <w:rsid w:val="00884F7E"/>
    <w:rsid w:val="00885DA3"/>
    <w:rsid w:val="008867C7"/>
    <w:rsid w:val="00886EA7"/>
    <w:rsid w:val="00886F4C"/>
    <w:rsid w:val="00887659"/>
    <w:rsid w:val="008918A8"/>
    <w:rsid w:val="0089278F"/>
    <w:rsid w:val="00893018"/>
    <w:rsid w:val="008933E8"/>
    <w:rsid w:val="00895CAB"/>
    <w:rsid w:val="00896157"/>
    <w:rsid w:val="008972FA"/>
    <w:rsid w:val="00897790"/>
    <w:rsid w:val="008A1E25"/>
    <w:rsid w:val="008A3499"/>
    <w:rsid w:val="008A5054"/>
    <w:rsid w:val="008B0242"/>
    <w:rsid w:val="008B32B9"/>
    <w:rsid w:val="008B3585"/>
    <w:rsid w:val="008B4635"/>
    <w:rsid w:val="008B53D6"/>
    <w:rsid w:val="008B6278"/>
    <w:rsid w:val="008B7726"/>
    <w:rsid w:val="008B7B39"/>
    <w:rsid w:val="008C2B3E"/>
    <w:rsid w:val="008C3517"/>
    <w:rsid w:val="008C3873"/>
    <w:rsid w:val="008C632C"/>
    <w:rsid w:val="008C6546"/>
    <w:rsid w:val="008C68C9"/>
    <w:rsid w:val="008C7544"/>
    <w:rsid w:val="008C7D29"/>
    <w:rsid w:val="008D09BF"/>
    <w:rsid w:val="008D09C1"/>
    <w:rsid w:val="008D2D71"/>
    <w:rsid w:val="008D2F0C"/>
    <w:rsid w:val="008D30EE"/>
    <w:rsid w:val="008D45EB"/>
    <w:rsid w:val="008D6B79"/>
    <w:rsid w:val="008D6C21"/>
    <w:rsid w:val="008D776A"/>
    <w:rsid w:val="008E5D5C"/>
    <w:rsid w:val="008E6F1A"/>
    <w:rsid w:val="008E7A63"/>
    <w:rsid w:val="008F08EC"/>
    <w:rsid w:val="008F53EC"/>
    <w:rsid w:val="008F55D3"/>
    <w:rsid w:val="008F7101"/>
    <w:rsid w:val="008F7508"/>
    <w:rsid w:val="00901F9B"/>
    <w:rsid w:val="009030E7"/>
    <w:rsid w:val="00903412"/>
    <w:rsid w:val="009041CF"/>
    <w:rsid w:val="009079AD"/>
    <w:rsid w:val="0091054F"/>
    <w:rsid w:val="00910669"/>
    <w:rsid w:val="00911588"/>
    <w:rsid w:val="009145A7"/>
    <w:rsid w:val="00914C85"/>
    <w:rsid w:val="00920D22"/>
    <w:rsid w:val="0092161D"/>
    <w:rsid w:val="00921891"/>
    <w:rsid w:val="00921AD0"/>
    <w:rsid w:val="00922440"/>
    <w:rsid w:val="00924267"/>
    <w:rsid w:val="00924877"/>
    <w:rsid w:val="00924B7C"/>
    <w:rsid w:val="00925DCE"/>
    <w:rsid w:val="009265F3"/>
    <w:rsid w:val="0092700A"/>
    <w:rsid w:val="009306BE"/>
    <w:rsid w:val="009316BE"/>
    <w:rsid w:val="00933026"/>
    <w:rsid w:val="00936D5B"/>
    <w:rsid w:val="00937719"/>
    <w:rsid w:val="00937735"/>
    <w:rsid w:val="00937E5C"/>
    <w:rsid w:val="00941B13"/>
    <w:rsid w:val="009438B7"/>
    <w:rsid w:val="00943A68"/>
    <w:rsid w:val="00945481"/>
    <w:rsid w:val="00946E23"/>
    <w:rsid w:val="009502BD"/>
    <w:rsid w:val="009556FB"/>
    <w:rsid w:val="009559A7"/>
    <w:rsid w:val="00956439"/>
    <w:rsid w:val="0095718C"/>
    <w:rsid w:val="00957F11"/>
    <w:rsid w:val="009608BB"/>
    <w:rsid w:val="00960B87"/>
    <w:rsid w:val="00961D30"/>
    <w:rsid w:val="00961F1A"/>
    <w:rsid w:val="009624F4"/>
    <w:rsid w:val="00962EB7"/>
    <w:rsid w:val="00964535"/>
    <w:rsid w:val="00964CB1"/>
    <w:rsid w:val="00965AF7"/>
    <w:rsid w:val="009677E8"/>
    <w:rsid w:val="00971020"/>
    <w:rsid w:val="00971252"/>
    <w:rsid w:val="0097127B"/>
    <w:rsid w:val="00973012"/>
    <w:rsid w:val="00974102"/>
    <w:rsid w:val="00974A01"/>
    <w:rsid w:val="00974BDC"/>
    <w:rsid w:val="0097563C"/>
    <w:rsid w:val="009762A3"/>
    <w:rsid w:val="00981250"/>
    <w:rsid w:val="00983680"/>
    <w:rsid w:val="00983A45"/>
    <w:rsid w:val="00983D9D"/>
    <w:rsid w:val="00985C35"/>
    <w:rsid w:val="0098745B"/>
    <w:rsid w:val="0098778B"/>
    <w:rsid w:val="00987EF7"/>
    <w:rsid w:val="00990436"/>
    <w:rsid w:val="00990FA5"/>
    <w:rsid w:val="0099189D"/>
    <w:rsid w:val="00991B0D"/>
    <w:rsid w:val="00991F8C"/>
    <w:rsid w:val="00993896"/>
    <w:rsid w:val="00993F11"/>
    <w:rsid w:val="00995D08"/>
    <w:rsid w:val="00997295"/>
    <w:rsid w:val="00997E49"/>
    <w:rsid w:val="009A2970"/>
    <w:rsid w:val="009A4065"/>
    <w:rsid w:val="009A4851"/>
    <w:rsid w:val="009A5A9D"/>
    <w:rsid w:val="009A5FCB"/>
    <w:rsid w:val="009A7C47"/>
    <w:rsid w:val="009A7F09"/>
    <w:rsid w:val="009B02AF"/>
    <w:rsid w:val="009B2E99"/>
    <w:rsid w:val="009B3503"/>
    <w:rsid w:val="009B35E7"/>
    <w:rsid w:val="009B36FB"/>
    <w:rsid w:val="009B5AB3"/>
    <w:rsid w:val="009B6694"/>
    <w:rsid w:val="009B6D89"/>
    <w:rsid w:val="009B7469"/>
    <w:rsid w:val="009C1288"/>
    <w:rsid w:val="009C212F"/>
    <w:rsid w:val="009C2280"/>
    <w:rsid w:val="009D0BAA"/>
    <w:rsid w:val="009D25F3"/>
    <w:rsid w:val="009D3E6C"/>
    <w:rsid w:val="009D540C"/>
    <w:rsid w:val="009D543E"/>
    <w:rsid w:val="009D630E"/>
    <w:rsid w:val="009D7C43"/>
    <w:rsid w:val="009E03C0"/>
    <w:rsid w:val="009E1214"/>
    <w:rsid w:val="009E20BE"/>
    <w:rsid w:val="009E2423"/>
    <w:rsid w:val="009E5493"/>
    <w:rsid w:val="009E5BBA"/>
    <w:rsid w:val="009F3B99"/>
    <w:rsid w:val="009F3BD9"/>
    <w:rsid w:val="009F4965"/>
    <w:rsid w:val="009F497E"/>
    <w:rsid w:val="009F6B6F"/>
    <w:rsid w:val="009F6CF1"/>
    <w:rsid w:val="00A00CC9"/>
    <w:rsid w:val="00A012C9"/>
    <w:rsid w:val="00A01A52"/>
    <w:rsid w:val="00A01B1D"/>
    <w:rsid w:val="00A01FEE"/>
    <w:rsid w:val="00A02409"/>
    <w:rsid w:val="00A027DE"/>
    <w:rsid w:val="00A02E31"/>
    <w:rsid w:val="00A037D0"/>
    <w:rsid w:val="00A0382D"/>
    <w:rsid w:val="00A04D53"/>
    <w:rsid w:val="00A065F2"/>
    <w:rsid w:val="00A07E13"/>
    <w:rsid w:val="00A10DF4"/>
    <w:rsid w:val="00A143DE"/>
    <w:rsid w:val="00A15ADD"/>
    <w:rsid w:val="00A24DCC"/>
    <w:rsid w:val="00A26DDC"/>
    <w:rsid w:val="00A26E7F"/>
    <w:rsid w:val="00A27677"/>
    <w:rsid w:val="00A30A64"/>
    <w:rsid w:val="00A311E0"/>
    <w:rsid w:val="00A3259B"/>
    <w:rsid w:val="00A33DEE"/>
    <w:rsid w:val="00A35750"/>
    <w:rsid w:val="00A35BCA"/>
    <w:rsid w:val="00A379B2"/>
    <w:rsid w:val="00A379E4"/>
    <w:rsid w:val="00A40426"/>
    <w:rsid w:val="00A426F1"/>
    <w:rsid w:val="00A42EAB"/>
    <w:rsid w:val="00A444E5"/>
    <w:rsid w:val="00A454E6"/>
    <w:rsid w:val="00A4602B"/>
    <w:rsid w:val="00A4647E"/>
    <w:rsid w:val="00A46E94"/>
    <w:rsid w:val="00A47580"/>
    <w:rsid w:val="00A47768"/>
    <w:rsid w:val="00A47B35"/>
    <w:rsid w:val="00A505E0"/>
    <w:rsid w:val="00A514E6"/>
    <w:rsid w:val="00A517DB"/>
    <w:rsid w:val="00A52155"/>
    <w:rsid w:val="00A52CA2"/>
    <w:rsid w:val="00A53249"/>
    <w:rsid w:val="00A55133"/>
    <w:rsid w:val="00A552B0"/>
    <w:rsid w:val="00A56F52"/>
    <w:rsid w:val="00A57058"/>
    <w:rsid w:val="00A57E80"/>
    <w:rsid w:val="00A61438"/>
    <w:rsid w:val="00A62BB7"/>
    <w:rsid w:val="00A64268"/>
    <w:rsid w:val="00A64B62"/>
    <w:rsid w:val="00A64E73"/>
    <w:rsid w:val="00A67651"/>
    <w:rsid w:val="00A70AA3"/>
    <w:rsid w:val="00A70F56"/>
    <w:rsid w:val="00A7310A"/>
    <w:rsid w:val="00A74005"/>
    <w:rsid w:val="00A75095"/>
    <w:rsid w:val="00A80F6D"/>
    <w:rsid w:val="00A815F2"/>
    <w:rsid w:val="00A81E53"/>
    <w:rsid w:val="00A82059"/>
    <w:rsid w:val="00A83092"/>
    <w:rsid w:val="00A83682"/>
    <w:rsid w:val="00A8438C"/>
    <w:rsid w:val="00A856A6"/>
    <w:rsid w:val="00A8666B"/>
    <w:rsid w:val="00A87403"/>
    <w:rsid w:val="00A90518"/>
    <w:rsid w:val="00A905DD"/>
    <w:rsid w:val="00A91938"/>
    <w:rsid w:val="00A922ED"/>
    <w:rsid w:val="00A92A4A"/>
    <w:rsid w:val="00A944B3"/>
    <w:rsid w:val="00A94B98"/>
    <w:rsid w:val="00A95E68"/>
    <w:rsid w:val="00A975E9"/>
    <w:rsid w:val="00A97939"/>
    <w:rsid w:val="00AA020A"/>
    <w:rsid w:val="00AA0CDA"/>
    <w:rsid w:val="00AA1EFB"/>
    <w:rsid w:val="00AA2299"/>
    <w:rsid w:val="00AA36B4"/>
    <w:rsid w:val="00AA39E8"/>
    <w:rsid w:val="00AA4452"/>
    <w:rsid w:val="00AA466A"/>
    <w:rsid w:val="00AA61D6"/>
    <w:rsid w:val="00AA6CBC"/>
    <w:rsid w:val="00AA7350"/>
    <w:rsid w:val="00AB0F27"/>
    <w:rsid w:val="00AB28E1"/>
    <w:rsid w:val="00AB4019"/>
    <w:rsid w:val="00AB7AAE"/>
    <w:rsid w:val="00AC0A9A"/>
    <w:rsid w:val="00AC16BA"/>
    <w:rsid w:val="00AC1AB0"/>
    <w:rsid w:val="00AC2FF3"/>
    <w:rsid w:val="00AC352F"/>
    <w:rsid w:val="00AC5A9D"/>
    <w:rsid w:val="00AC7EDA"/>
    <w:rsid w:val="00AD01E2"/>
    <w:rsid w:val="00AD1D16"/>
    <w:rsid w:val="00AD213B"/>
    <w:rsid w:val="00AD39EC"/>
    <w:rsid w:val="00AD5419"/>
    <w:rsid w:val="00AD650A"/>
    <w:rsid w:val="00AD74B9"/>
    <w:rsid w:val="00AD7A2F"/>
    <w:rsid w:val="00AD7E0E"/>
    <w:rsid w:val="00AE14C8"/>
    <w:rsid w:val="00AE182F"/>
    <w:rsid w:val="00AE5F55"/>
    <w:rsid w:val="00AE7772"/>
    <w:rsid w:val="00AF0BA1"/>
    <w:rsid w:val="00AF112B"/>
    <w:rsid w:val="00AF18AB"/>
    <w:rsid w:val="00AF2F89"/>
    <w:rsid w:val="00AF32FB"/>
    <w:rsid w:val="00AF36FF"/>
    <w:rsid w:val="00AF403A"/>
    <w:rsid w:val="00AF54F6"/>
    <w:rsid w:val="00AF67FC"/>
    <w:rsid w:val="00AF68DA"/>
    <w:rsid w:val="00B0025B"/>
    <w:rsid w:val="00B009D6"/>
    <w:rsid w:val="00B00A42"/>
    <w:rsid w:val="00B00D5A"/>
    <w:rsid w:val="00B031AF"/>
    <w:rsid w:val="00B035D3"/>
    <w:rsid w:val="00B055D7"/>
    <w:rsid w:val="00B05D02"/>
    <w:rsid w:val="00B05DD4"/>
    <w:rsid w:val="00B06982"/>
    <w:rsid w:val="00B06F1F"/>
    <w:rsid w:val="00B07A32"/>
    <w:rsid w:val="00B114A3"/>
    <w:rsid w:val="00B13DC6"/>
    <w:rsid w:val="00B14795"/>
    <w:rsid w:val="00B14A22"/>
    <w:rsid w:val="00B15ABF"/>
    <w:rsid w:val="00B163B3"/>
    <w:rsid w:val="00B17732"/>
    <w:rsid w:val="00B20020"/>
    <w:rsid w:val="00B2173F"/>
    <w:rsid w:val="00B2191F"/>
    <w:rsid w:val="00B239AE"/>
    <w:rsid w:val="00B23F08"/>
    <w:rsid w:val="00B24077"/>
    <w:rsid w:val="00B25220"/>
    <w:rsid w:val="00B255BA"/>
    <w:rsid w:val="00B25B49"/>
    <w:rsid w:val="00B2631A"/>
    <w:rsid w:val="00B313FA"/>
    <w:rsid w:val="00B31A53"/>
    <w:rsid w:val="00B31E92"/>
    <w:rsid w:val="00B34C27"/>
    <w:rsid w:val="00B35864"/>
    <w:rsid w:val="00B36B73"/>
    <w:rsid w:val="00B36BE9"/>
    <w:rsid w:val="00B36FCC"/>
    <w:rsid w:val="00B37081"/>
    <w:rsid w:val="00B374D1"/>
    <w:rsid w:val="00B37951"/>
    <w:rsid w:val="00B415B3"/>
    <w:rsid w:val="00B422B3"/>
    <w:rsid w:val="00B42889"/>
    <w:rsid w:val="00B46617"/>
    <w:rsid w:val="00B46BF3"/>
    <w:rsid w:val="00B50090"/>
    <w:rsid w:val="00B50AFC"/>
    <w:rsid w:val="00B546E6"/>
    <w:rsid w:val="00B5529B"/>
    <w:rsid w:val="00B56F8B"/>
    <w:rsid w:val="00B57C8C"/>
    <w:rsid w:val="00B57E8A"/>
    <w:rsid w:val="00B62B84"/>
    <w:rsid w:val="00B62F87"/>
    <w:rsid w:val="00B637FB"/>
    <w:rsid w:val="00B63A6F"/>
    <w:rsid w:val="00B641AD"/>
    <w:rsid w:val="00B6518D"/>
    <w:rsid w:val="00B66988"/>
    <w:rsid w:val="00B66B39"/>
    <w:rsid w:val="00B67163"/>
    <w:rsid w:val="00B67353"/>
    <w:rsid w:val="00B715BA"/>
    <w:rsid w:val="00B71682"/>
    <w:rsid w:val="00B721FE"/>
    <w:rsid w:val="00B72A05"/>
    <w:rsid w:val="00B73A47"/>
    <w:rsid w:val="00B776E6"/>
    <w:rsid w:val="00B778B8"/>
    <w:rsid w:val="00B83CB9"/>
    <w:rsid w:val="00B85DA7"/>
    <w:rsid w:val="00B85FD8"/>
    <w:rsid w:val="00B866C5"/>
    <w:rsid w:val="00B8719E"/>
    <w:rsid w:val="00B8729D"/>
    <w:rsid w:val="00B9060B"/>
    <w:rsid w:val="00B90A25"/>
    <w:rsid w:val="00B92CCA"/>
    <w:rsid w:val="00B92DD9"/>
    <w:rsid w:val="00B9419A"/>
    <w:rsid w:val="00B94DE6"/>
    <w:rsid w:val="00BA10DF"/>
    <w:rsid w:val="00BA5535"/>
    <w:rsid w:val="00BA5E68"/>
    <w:rsid w:val="00BB2455"/>
    <w:rsid w:val="00BB3707"/>
    <w:rsid w:val="00BC03C1"/>
    <w:rsid w:val="00BC537E"/>
    <w:rsid w:val="00BC55F6"/>
    <w:rsid w:val="00BC5851"/>
    <w:rsid w:val="00BC5E1E"/>
    <w:rsid w:val="00BC7393"/>
    <w:rsid w:val="00BD0050"/>
    <w:rsid w:val="00BD07D0"/>
    <w:rsid w:val="00BD1C35"/>
    <w:rsid w:val="00BD1C52"/>
    <w:rsid w:val="00BD3509"/>
    <w:rsid w:val="00BD3F0A"/>
    <w:rsid w:val="00BD4EA7"/>
    <w:rsid w:val="00BD5078"/>
    <w:rsid w:val="00BD5AEE"/>
    <w:rsid w:val="00BD7988"/>
    <w:rsid w:val="00BE07F9"/>
    <w:rsid w:val="00BE2ACE"/>
    <w:rsid w:val="00BE4226"/>
    <w:rsid w:val="00BE4ABA"/>
    <w:rsid w:val="00BE4C07"/>
    <w:rsid w:val="00BE56B1"/>
    <w:rsid w:val="00BE6517"/>
    <w:rsid w:val="00BE68CE"/>
    <w:rsid w:val="00BE6CD0"/>
    <w:rsid w:val="00BE7C97"/>
    <w:rsid w:val="00BF3C83"/>
    <w:rsid w:val="00BF3F5C"/>
    <w:rsid w:val="00BF42FD"/>
    <w:rsid w:val="00BF4456"/>
    <w:rsid w:val="00BF4CF3"/>
    <w:rsid w:val="00BF6837"/>
    <w:rsid w:val="00C0032D"/>
    <w:rsid w:val="00C00B96"/>
    <w:rsid w:val="00C018E4"/>
    <w:rsid w:val="00C027E6"/>
    <w:rsid w:val="00C02A63"/>
    <w:rsid w:val="00C045FB"/>
    <w:rsid w:val="00C05099"/>
    <w:rsid w:val="00C05F00"/>
    <w:rsid w:val="00C10A36"/>
    <w:rsid w:val="00C1149F"/>
    <w:rsid w:val="00C14801"/>
    <w:rsid w:val="00C15715"/>
    <w:rsid w:val="00C17E50"/>
    <w:rsid w:val="00C2011B"/>
    <w:rsid w:val="00C20A01"/>
    <w:rsid w:val="00C21458"/>
    <w:rsid w:val="00C21F34"/>
    <w:rsid w:val="00C242EE"/>
    <w:rsid w:val="00C243B7"/>
    <w:rsid w:val="00C2563D"/>
    <w:rsid w:val="00C2567E"/>
    <w:rsid w:val="00C258EF"/>
    <w:rsid w:val="00C2591C"/>
    <w:rsid w:val="00C26995"/>
    <w:rsid w:val="00C302CF"/>
    <w:rsid w:val="00C30AA4"/>
    <w:rsid w:val="00C31BC3"/>
    <w:rsid w:val="00C35F25"/>
    <w:rsid w:val="00C35F8C"/>
    <w:rsid w:val="00C3615B"/>
    <w:rsid w:val="00C379D0"/>
    <w:rsid w:val="00C4029E"/>
    <w:rsid w:val="00C40846"/>
    <w:rsid w:val="00C41332"/>
    <w:rsid w:val="00C418AF"/>
    <w:rsid w:val="00C41999"/>
    <w:rsid w:val="00C41E48"/>
    <w:rsid w:val="00C46717"/>
    <w:rsid w:val="00C47AD5"/>
    <w:rsid w:val="00C5256C"/>
    <w:rsid w:val="00C541F9"/>
    <w:rsid w:val="00C54567"/>
    <w:rsid w:val="00C56C07"/>
    <w:rsid w:val="00C57E29"/>
    <w:rsid w:val="00C604CA"/>
    <w:rsid w:val="00C60D2A"/>
    <w:rsid w:val="00C60E93"/>
    <w:rsid w:val="00C61E6E"/>
    <w:rsid w:val="00C62AE8"/>
    <w:rsid w:val="00C637C6"/>
    <w:rsid w:val="00C645EA"/>
    <w:rsid w:val="00C64FC5"/>
    <w:rsid w:val="00C66496"/>
    <w:rsid w:val="00C6748D"/>
    <w:rsid w:val="00C675D8"/>
    <w:rsid w:val="00C67691"/>
    <w:rsid w:val="00C702B5"/>
    <w:rsid w:val="00C70748"/>
    <w:rsid w:val="00C713FD"/>
    <w:rsid w:val="00C716C1"/>
    <w:rsid w:val="00C7327F"/>
    <w:rsid w:val="00C73D44"/>
    <w:rsid w:val="00C74753"/>
    <w:rsid w:val="00C756BA"/>
    <w:rsid w:val="00C75B7D"/>
    <w:rsid w:val="00C760AB"/>
    <w:rsid w:val="00C764B0"/>
    <w:rsid w:val="00C76746"/>
    <w:rsid w:val="00C76D9D"/>
    <w:rsid w:val="00C77411"/>
    <w:rsid w:val="00C77A63"/>
    <w:rsid w:val="00C80CA8"/>
    <w:rsid w:val="00C80D87"/>
    <w:rsid w:val="00C81E20"/>
    <w:rsid w:val="00C823C5"/>
    <w:rsid w:val="00C82DA9"/>
    <w:rsid w:val="00C82DC6"/>
    <w:rsid w:val="00C84CEE"/>
    <w:rsid w:val="00C862EF"/>
    <w:rsid w:val="00C86BFB"/>
    <w:rsid w:val="00C90C06"/>
    <w:rsid w:val="00C916A9"/>
    <w:rsid w:val="00C93BAC"/>
    <w:rsid w:val="00C96828"/>
    <w:rsid w:val="00C97277"/>
    <w:rsid w:val="00C97606"/>
    <w:rsid w:val="00C97FC6"/>
    <w:rsid w:val="00CA07BE"/>
    <w:rsid w:val="00CA0AAB"/>
    <w:rsid w:val="00CA1308"/>
    <w:rsid w:val="00CA4603"/>
    <w:rsid w:val="00CA7167"/>
    <w:rsid w:val="00CB1729"/>
    <w:rsid w:val="00CB280A"/>
    <w:rsid w:val="00CB2B88"/>
    <w:rsid w:val="00CB6565"/>
    <w:rsid w:val="00CB68EC"/>
    <w:rsid w:val="00CB6FE3"/>
    <w:rsid w:val="00CC005A"/>
    <w:rsid w:val="00CC0E98"/>
    <w:rsid w:val="00CC2468"/>
    <w:rsid w:val="00CC24AD"/>
    <w:rsid w:val="00CC2BB0"/>
    <w:rsid w:val="00CC3432"/>
    <w:rsid w:val="00CC4594"/>
    <w:rsid w:val="00CC6057"/>
    <w:rsid w:val="00CC6073"/>
    <w:rsid w:val="00CC62A5"/>
    <w:rsid w:val="00CC7390"/>
    <w:rsid w:val="00CD05B6"/>
    <w:rsid w:val="00CD0605"/>
    <w:rsid w:val="00CD0CA3"/>
    <w:rsid w:val="00CD1469"/>
    <w:rsid w:val="00CD1535"/>
    <w:rsid w:val="00CD3996"/>
    <w:rsid w:val="00CD427F"/>
    <w:rsid w:val="00CD50A9"/>
    <w:rsid w:val="00CD5815"/>
    <w:rsid w:val="00CD6328"/>
    <w:rsid w:val="00CD7A2C"/>
    <w:rsid w:val="00CE02CB"/>
    <w:rsid w:val="00CE2ABD"/>
    <w:rsid w:val="00CE35DE"/>
    <w:rsid w:val="00CE4405"/>
    <w:rsid w:val="00CE5FB7"/>
    <w:rsid w:val="00CE6D36"/>
    <w:rsid w:val="00CE6EBC"/>
    <w:rsid w:val="00CE7ED4"/>
    <w:rsid w:val="00CF1169"/>
    <w:rsid w:val="00CF1B8B"/>
    <w:rsid w:val="00CF26BF"/>
    <w:rsid w:val="00CF41FD"/>
    <w:rsid w:val="00CF4382"/>
    <w:rsid w:val="00CF4717"/>
    <w:rsid w:val="00CF61A0"/>
    <w:rsid w:val="00CF6BF4"/>
    <w:rsid w:val="00CF746A"/>
    <w:rsid w:val="00D00909"/>
    <w:rsid w:val="00D01669"/>
    <w:rsid w:val="00D01B20"/>
    <w:rsid w:val="00D030C7"/>
    <w:rsid w:val="00D075FF"/>
    <w:rsid w:val="00D141CC"/>
    <w:rsid w:val="00D15E28"/>
    <w:rsid w:val="00D16048"/>
    <w:rsid w:val="00D200AA"/>
    <w:rsid w:val="00D21C54"/>
    <w:rsid w:val="00D22B2E"/>
    <w:rsid w:val="00D22F29"/>
    <w:rsid w:val="00D23672"/>
    <w:rsid w:val="00D2592D"/>
    <w:rsid w:val="00D278F6"/>
    <w:rsid w:val="00D27971"/>
    <w:rsid w:val="00D31D50"/>
    <w:rsid w:val="00D32B82"/>
    <w:rsid w:val="00D32D21"/>
    <w:rsid w:val="00D33F7F"/>
    <w:rsid w:val="00D3438F"/>
    <w:rsid w:val="00D35B7D"/>
    <w:rsid w:val="00D35C1D"/>
    <w:rsid w:val="00D3742E"/>
    <w:rsid w:val="00D37CCA"/>
    <w:rsid w:val="00D4046F"/>
    <w:rsid w:val="00D414F1"/>
    <w:rsid w:val="00D41729"/>
    <w:rsid w:val="00D41BF2"/>
    <w:rsid w:val="00D4239E"/>
    <w:rsid w:val="00D43AAA"/>
    <w:rsid w:val="00D45306"/>
    <w:rsid w:val="00D476A7"/>
    <w:rsid w:val="00D500C6"/>
    <w:rsid w:val="00D50E78"/>
    <w:rsid w:val="00D52370"/>
    <w:rsid w:val="00D53918"/>
    <w:rsid w:val="00D541AF"/>
    <w:rsid w:val="00D56263"/>
    <w:rsid w:val="00D57422"/>
    <w:rsid w:val="00D57A4B"/>
    <w:rsid w:val="00D61535"/>
    <w:rsid w:val="00D620AE"/>
    <w:rsid w:val="00D6244C"/>
    <w:rsid w:val="00D6269D"/>
    <w:rsid w:val="00D641D8"/>
    <w:rsid w:val="00D667EE"/>
    <w:rsid w:val="00D677EA"/>
    <w:rsid w:val="00D71528"/>
    <w:rsid w:val="00D71B14"/>
    <w:rsid w:val="00D743BA"/>
    <w:rsid w:val="00D74936"/>
    <w:rsid w:val="00D74AE8"/>
    <w:rsid w:val="00D75098"/>
    <w:rsid w:val="00D76D31"/>
    <w:rsid w:val="00D77A27"/>
    <w:rsid w:val="00D8021A"/>
    <w:rsid w:val="00D824D3"/>
    <w:rsid w:val="00D82BF2"/>
    <w:rsid w:val="00D8570C"/>
    <w:rsid w:val="00D85AD7"/>
    <w:rsid w:val="00D86AAB"/>
    <w:rsid w:val="00D879E6"/>
    <w:rsid w:val="00D93968"/>
    <w:rsid w:val="00D94816"/>
    <w:rsid w:val="00D97BF4"/>
    <w:rsid w:val="00DA112A"/>
    <w:rsid w:val="00DA1352"/>
    <w:rsid w:val="00DA5430"/>
    <w:rsid w:val="00DA5B0E"/>
    <w:rsid w:val="00DA735C"/>
    <w:rsid w:val="00DB0087"/>
    <w:rsid w:val="00DB144D"/>
    <w:rsid w:val="00DB1DF8"/>
    <w:rsid w:val="00DB7E7A"/>
    <w:rsid w:val="00DC0D68"/>
    <w:rsid w:val="00DC1ABB"/>
    <w:rsid w:val="00DC23D6"/>
    <w:rsid w:val="00DC2871"/>
    <w:rsid w:val="00DC48A7"/>
    <w:rsid w:val="00DC5BFF"/>
    <w:rsid w:val="00DC64D5"/>
    <w:rsid w:val="00DC66F6"/>
    <w:rsid w:val="00DD023F"/>
    <w:rsid w:val="00DD153C"/>
    <w:rsid w:val="00DD5342"/>
    <w:rsid w:val="00DD6726"/>
    <w:rsid w:val="00DD69A7"/>
    <w:rsid w:val="00DD6B52"/>
    <w:rsid w:val="00DE0392"/>
    <w:rsid w:val="00DE0A3C"/>
    <w:rsid w:val="00DE1E90"/>
    <w:rsid w:val="00DE225D"/>
    <w:rsid w:val="00DE41EF"/>
    <w:rsid w:val="00DE4B79"/>
    <w:rsid w:val="00DE5AE4"/>
    <w:rsid w:val="00DE66B0"/>
    <w:rsid w:val="00DE6B93"/>
    <w:rsid w:val="00DF0D25"/>
    <w:rsid w:val="00DF1BA1"/>
    <w:rsid w:val="00DF24A7"/>
    <w:rsid w:val="00DF2BCB"/>
    <w:rsid w:val="00DF2DD8"/>
    <w:rsid w:val="00E0058B"/>
    <w:rsid w:val="00E0082E"/>
    <w:rsid w:val="00E01B5C"/>
    <w:rsid w:val="00E02B0C"/>
    <w:rsid w:val="00E04D35"/>
    <w:rsid w:val="00E06609"/>
    <w:rsid w:val="00E06CE3"/>
    <w:rsid w:val="00E06D56"/>
    <w:rsid w:val="00E07D03"/>
    <w:rsid w:val="00E07E45"/>
    <w:rsid w:val="00E12736"/>
    <w:rsid w:val="00E12D3D"/>
    <w:rsid w:val="00E16E93"/>
    <w:rsid w:val="00E172A1"/>
    <w:rsid w:val="00E179FF"/>
    <w:rsid w:val="00E22195"/>
    <w:rsid w:val="00E230F3"/>
    <w:rsid w:val="00E26BAC"/>
    <w:rsid w:val="00E3029F"/>
    <w:rsid w:val="00E3312C"/>
    <w:rsid w:val="00E3487E"/>
    <w:rsid w:val="00E37FC8"/>
    <w:rsid w:val="00E4128D"/>
    <w:rsid w:val="00E415D3"/>
    <w:rsid w:val="00E41A0A"/>
    <w:rsid w:val="00E42ED0"/>
    <w:rsid w:val="00E4315D"/>
    <w:rsid w:val="00E43FAC"/>
    <w:rsid w:val="00E448E7"/>
    <w:rsid w:val="00E4521F"/>
    <w:rsid w:val="00E456A3"/>
    <w:rsid w:val="00E46D4B"/>
    <w:rsid w:val="00E47B7B"/>
    <w:rsid w:val="00E5032F"/>
    <w:rsid w:val="00E524B0"/>
    <w:rsid w:val="00E53AA2"/>
    <w:rsid w:val="00E53F1C"/>
    <w:rsid w:val="00E56265"/>
    <w:rsid w:val="00E60344"/>
    <w:rsid w:val="00E6208D"/>
    <w:rsid w:val="00E63C21"/>
    <w:rsid w:val="00E646F7"/>
    <w:rsid w:val="00E64C53"/>
    <w:rsid w:val="00E658CB"/>
    <w:rsid w:val="00E65EDB"/>
    <w:rsid w:val="00E66593"/>
    <w:rsid w:val="00E6685B"/>
    <w:rsid w:val="00E67DE8"/>
    <w:rsid w:val="00E7068D"/>
    <w:rsid w:val="00E715EE"/>
    <w:rsid w:val="00E7290D"/>
    <w:rsid w:val="00E72A0C"/>
    <w:rsid w:val="00E746B9"/>
    <w:rsid w:val="00E750A3"/>
    <w:rsid w:val="00E757A0"/>
    <w:rsid w:val="00E75D25"/>
    <w:rsid w:val="00E769B8"/>
    <w:rsid w:val="00E827E9"/>
    <w:rsid w:val="00E82F48"/>
    <w:rsid w:val="00E85B98"/>
    <w:rsid w:val="00E86547"/>
    <w:rsid w:val="00E870D2"/>
    <w:rsid w:val="00E90F35"/>
    <w:rsid w:val="00E91AA8"/>
    <w:rsid w:val="00E92053"/>
    <w:rsid w:val="00E922BD"/>
    <w:rsid w:val="00E926E3"/>
    <w:rsid w:val="00E93377"/>
    <w:rsid w:val="00E93A01"/>
    <w:rsid w:val="00E95646"/>
    <w:rsid w:val="00E95661"/>
    <w:rsid w:val="00E95C89"/>
    <w:rsid w:val="00E95D18"/>
    <w:rsid w:val="00E9787F"/>
    <w:rsid w:val="00EA072E"/>
    <w:rsid w:val="00EA14ED"/>
    <w:rsid w:val="00EA28D3"/>
    <w:rsid w:val="00EA37CE"/>
    <w:rsid w:val="00EA3A1E"/>
    <w:rsid w:val="00EA63C1"/>
    <w:rsid w:val="00EA6685"/>
    <w:rsid w:val="00EA7169"/>
    <w:rsid w:val="00EB164C"/>
    <w:rsid w:val="00EB1ED9"/>
    <w:rsid w:val="00EB37F2"/>
    <w:rsid w:val="00EB4728"/>
    <w:rsid w:val="00EC22C8"/>
    <w:rsid w:val="00EC2311"/>
    <w:rsid w:val="00EC257C"/>
    <w:rsid w:val="00EC2687"/>
    <w:rsid w:val="00EC2A8B"/>
    <w:rsid w:val="00EC2E98"/>
    <w:rsid w:val="00EC42D8"/>
    <w:rsid w:val="00EC4FDD"/>
    <w:rsid w:val="00EC559E"/>
    <w:rsid w:val="00EC59B3"/>
    <w:rsid w:val="00EC5FB0"/>
    <w:rsid w:val="00EC658A"/>
    <w:rsid w:val="00ED10C8"/>
    <w:rsid w:val="00ED3C99"/>
    <w:rsid w:val="00ED4267"/>
    <w:rsid w:val="00ED4B2F"/>
    <w:rsid w:val="00ED555F"/>
    <w:rsid w:val="00ED6E55"/>
    <w:rsid w:val="00EE0C44"/>
    <w:rsid w:val="00EE235D"/>
    <w:rsid w:val="00EE554C"/>
    <w:rsid w:val="00EE56EC"/>
    <w:rsid w:val="00EE5DCD"/>
    <w:rsid w:val="00EE66E9"/>
    <w:rsid w:val="00EE7761"/>
    <w:rsid w:val="00EE7B54"/>
    <w:rsid w:val="00EF26BF"/>
    <w:rsid w:val="00EF3D12"/>
    <w:rsid w:val="00EF4ED4"/>
    <w:rsid w:val="00EF7680"/>
    <w:rsid w:val="00EF7ADA"/>
    <w:rsid w:val="00F0028E"/>
    <w:rsid w:val="00F005D8"/>
    <w:rsid w:val="00F0125A"/>
    <w:rsid w:val="00F01DBF"/>
    <w:rsid w:val="00F027FC"/>
    <w:rsid w:val="00F040FF"/>
    <w:rsid w:val="00F043CC"/>
    <w:rsid w:val="00F06D8F"/>
    <w:rsid w:val="00F075AB"/>
    <w:rsid w:val="00F1182F"/>
    <w:rsid w:val="00F1221E"/>
    <w:rsid w:val="00F12ECC"/>
    <w:rsid w:val="00F13D57"/>
    <w:rsid w:val="00F147C3"/>
    <w:rsid w:val="00F14838"/>
    <w:rsid w:val="00F17960"/>
    <w:rsid w:val="00F17B31"/>
    <w:rsid w:val="00F2011A"/>
    <w:rsid w:val="00F21F25"/>
    <w:rsid w:val="00F22ADA"/>
    <w:rsid w:val="00F23D6D"/>
    <w:rsid w:val="00F23F7D"/>
    <w:rsid w:val="00F25345"/>
    <w:rsid w:val="00F26852"/>
    <w:rsid w:val="00F26A81"/>
    <w:rsid w:val="00F27E07"/>
    <w:rsid w:val="00F32883"/>
    <w:rsid w:val="00F33639"/>
    <w:rsid w:val="00F33D8C"/>
    <w:rsid w:val="00F3426C"/>
    <w:rsid w:val="00F34F63"/>
    <w:rsid w:val="00F35197"/>
    <w:rsid w:val="00F351A2"/>
    <w:rsid w:val="00F352FC"/>
    <w:rsid w:val="00F35B0C"/>
    <w:rsid w:val="00F36A5F"/>
    <w:rsid w:val="00F406D8"/>
    <w:rsid w:val="00F425FE"/>
    <w:rsid w:val="00F42D30"/>
    <w:rsid w:val="00F42F61"/>
    <w:rsid w:val="00F4396E"/>
    <w:rsid w:val="00F45CC2"/>
    <w:rsid w:val="00F46353"/>
    <w:rsid w:val="00F47A82"/>
    <w:rsid w:val="00F47F23"/>
    <w:rsid w:val="00F50E73"/>
    <w:rsid w:val="00F510BF"/>
    <w:rsid w:val="00F53384"/>
    <w:rsid w:val="00F53B38"/>
    <w:rsid w:val="00F55E42"/>
    <w:rsid w:val="00F562D7"/>
    <w:rsid w:val="00F56C99"/>
    <w:rsid w:val="00F61EDE"/>
    <w:rsid w:val="00F63459"/>
    <w:rsid w:val="00F6394E"/>
    <w:rsid w:val="00F65182"/>
    <w:rsid w:val="00F671FF"/>
    <w:rsid w:val="00F67827"/>
    <w:rsid w:val="00F67E37"/>
    <w:rsid w:val="00F71657"/>
    <w:rsid w:val="00F71891"/>
    <w:rsid w:val="00F723E0"/>
    <w:rsid w:val="00F73BB5"/>
    <w:rsid w:val="00F73CE5"/>
    <w:rsid w:val="00F73EC8"/>
    <w:rsid w:val="00F758E2"/>
    <w:rsid w:val="00F76E61"/>
    <w:rsid w:val="00F771B6"/>
    <w:rsid w:val="00F84A02"/>
    <w:rsid w:val="00F84A8A"/>
    <w:rsid w:val="00F85330"/>
    <w:rsid w:val="00F86821"/>
    <w:rsid w:val="00F906C8"/>
    <w:rsid w:val="00F93D0C"/>
    <w:rsid w:val="00F97F85"/>
    <w:rsid w:val="00FA01D6"/>
    <w:rsid w:val="00FA1B08"/>
    <w:rsid w:val="00FA2782"/>
    <w:rsid w:val="00FA2AD0"/>
    <w:rsid w:val="00FA59DF"/>
    <w:rsid w:val="00FA6D0A"/>
    <w:rsid w:val="00FB0D54"/>
    <w:rsid w:val="00FB16DC"/>
    <w:rsid w:val="00FB195B"/>
    <w:rsid w:val="00FB1A7F"/>
    <w:rsid w:val="00FB2B73"/>
    <w:rsid w:val="00FB3968"/>
    <w:rsid w:val="00FB3F9D"/>
    <w:rsid w:val="00FB4427"/>
    <w:rsid w:val="00FB5B47"/>
    <w:rsid w:val="00FB5CBA"/>
    <w:rsid w:val="00FB62F6"/>
    <w:rsid w:val="00FB6D1E"/>
    <w:rsid w:val="00FB749C"/>
    <w:rsid w:val="00FB758A"/>
    <w:rsid w:val="00FC1C5B"/>
    <w:rsid w:val="00FC2EDE"/>
    <w:rsid w:val="00FC3092"/>
    <w:rsid w:val="00FC4F7E"/>
    <w:rsid w:val="00FC5892"/>
    <w:rsid w:val="00FD03B5"/>
    <w:rsid w:val="00FD062B"/>
    <w:rsid w:val="00FD0EA8"/>
    <w:rsid w:val="00FD1635"/>
    <w:rsid w:val="00FD25AA"/>
    <w:rsid w:val="00FD3A35"/>
    <w:rsid w:val="00FD4B35"/>
    <w:rsid w:val="00FD573C"/>
    <w:rsid w:val="00FD58AA"/>
    <w:rsid w:val="00FD5E0B"/>
    <w:rsid w:val="00FD64B7"/>
    <w:rsid w:val="00FD6F42"/>
    <w:rsid w:val="00FD7715"/>
    <w:rsid w:val="00FE103F"/>
    <w:rsid w:val="00FE2A4F"/>
    <w:rsid w:val="00FE2A72"/>
    <w:rsid w:val="00FE3175"/>
    <w:rsid w:val="00FE46AD"/>
    <w:rsid w:val="00FE48C8"/>
    <w:rsid w:val="00FE5435"/>
    <w:rsid w:val="00FE7E28"/>
    <w:rsid w:val="00FF1773"/>
    <w:rsid w:val="00FF2FB2"/>
    <w:rsid w:val="00FF3267"/>
    <w:rsid w:val="00FF3DD0"/>
    <w:rsid w:val="00FF4C80"/>
    <w:rsid w:val="00FF5567"/>
    <w:rsid w:val="00FF565C"/>
    <w:rsid w:val="00FF6787"/>
    <w:rsid w:val="00FF7B31"/>
    <w:rsid w:val="011A2685"/>
    <w:rsid w:val="01415248"/>
    <w:rsid w:val="01F83319"/>
    <w:rsid w:val="02701CCF"/>
    <w:rsid w:val="03CD2C6A"/>
    <w:rsid w:val="04AC799D"/>
    <w:rsid w:val="077A1201"/>
    <w:rsid w:val="083F3B4C"/>
    <w:rsid w:val="0A51262D"/>
    <w:rsid w:val="0A6B5301"/>
    <w:rsid w:val="0B4371E8"/>
    <w:rsid w:val="0B46139D"/>
    <w:rsid w:val="0B900F7D"/>
    <w:rsid w:val="0CBB45C9"/>
    <w:rsid w:val="0CDA4AA0"/>
    <w:rsid w:val="0D122A4E"/>
    <w:rsid w:val="0DC819CE"/>
    <w:rsid w:val="0EE907B5"/>
    <w:rsid w:val="10107E1A"/>
    <w:rsid w:val="106464AB"/>
    <w:rsid w:val="109B6DE9"/>
    <w:rsid w:val="12B966CC"/>
    <w:rsid w:val="133704BB"/>
    <w:rsid w:val="140E415A"/>
    <w:rsid w:val="18742A61"/>
    <w:rsid w:val="1ABF7604"/>
    <w:rsid w:val="1CF36391"/>
    <w:rsid w:val="1F7D4147"/>
    <w:rsid w:val="22C605CE"/>
    <w:rsid w:val="22F7191D"/>
    <w:rsid w:val="23D718F4"/>
    <w:rsid w:val="255B5B49"/>
    <w:rsid w:val="27212045"/>
    <w:rsid w:val="28EF365D"/>
    <w:rsid w:val="2B4F736F"/>
    <w:rsid w:val="2CD9056C"/>
    <w:rsid w:val="2F61520F"/>
    <w:rsid w:val="31DD590A"/>
    <w:rsid w:val="328037EE"/>
    <w:rsid w:val="34E45F41"/>
    <w:rsid w:val="350919B8"/>
    <w:rsid w:val="36412DAB"/>
    <w:rsid w:val="3708036F"/>
    <w:rsid w:val="37587BDC"/>
    <w:rsid w:val="38450F0B"/>
    <w:rsid w:val="399E308B"/>
    <w:rsid w:val="39EC12A1"/>
    <w:rsid w:val="3B3E3CA4"/>
    <w:rsid w:val="3DB64913"/>
    <w:rsid w:val="3DD91DDD"/>
    <w:rsid w:val="40C22F7C"/>
    <w:rsid w:val="447637FB"/>
    <w:rsid w:val="44BE7FA8"/>
    <w:rsid w:val="44C54271"/>
    <w:rsid w:val="44D15DA5"/>
    <w:rsid w:val="45026D06"/>
    <w:rsid w:val="46E57F61"/>
    <w:rsid w:val="48771D18"/>
    <w:rsid w:val="489D3052"/>
    <w:rsid w:val="4AEC5F4C"/>
    <w:rsid w:val="4F12448A"/>
    <w:rsid w:val="51245B59"/>
    <w:rsid w:val="518F47E5"/>
    <w:rsid w:val="53DA2AD4"/>
    <w:rsid w:val="541C5840"/>
    <w:rsid w:val="5461235F"/>
    <w:rsid w:val="569D0980"/>
    <w:rsid w:val="57AA015A"/>
    <w:rsid w:val="57E249DD"/>
    <w:rsid w:val="5FDA79DE"/>
    <w:rsid w:val="5FDB3675"/>
    <w:rsid w:val="611B3AA2"/>
    <w:rsid w:val="61526DD6"/>
    <w:rsid w:val="62355971"/>
    <w:rsid w:val="62953383"/>
    <w:rsid w:val="641F42B5"/>
    <w:rsid w:val="6525654D"/>
    <w:rsid w:val="65472FF3"/>
    <w:rsid w:val="65BF2E72"/>
    <w:rsid w:val="669129C5"/>
    <w:rsid w:val="67F56944"/>
    <w:rsid w:val="6A275DB9"/>
    <w:rsid w:val="6A3D1007"/>
    <w:rsid w:val="6AAA2444"/>
    <w:rsid w:val="6AF659CC"/>
    <w:rsid w:val="6BD562CD"/>
    <w:rsid w:val="6D5B2163"/>
    <w:rsid w:val="6E61037D"/>
    <w:rsid w:val="722953B6"/>
    <w:rsid w:val="72807C8E"/>
    <w:rsid w:val="73B32922"/>
    <w:rsid w:val="75237AE5"/>
    <w:rsid w:val="75E46D63"/>
    <w:rsid w:val="77A20CC4"/>
    <w:rsid w:val="78C87594"/>
    <w:rsid w:val="78E30367"/>
    <w:rsid w:val="78F619E1"/>
    <w:rsid w:val="7A1E1A39"/>
    <w:rsid w:val="7A553466"/>
    <w:rsid w:val="7A5D77D0"/>
    <w:rsid w:val="7C510C12"/>
    <w:rsid w:val="7CEF3A18"/>
    <w:rsid w:val="7E870929"/>
    <w:rsid w:val="7E8E16A9"/>
    <w:rsid w:val="7FBE68F7"/>
    <w:rsid w:val="7FE43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440" w:lineRule="exact"/>
      <w:ind w:firstLine="200" w:firstLineChars="200"/>
      <w:jc w:val="both"/>
    </w:pPr>
    <w:rPr>
      <w:rFonts w:ascii="Times New Roman" w:hAnsi="Times New Roman" w:eastAsia="宋体" w:cstheme="minorBidi"/>
      <w:sz w:val="24"/>
      <w:szCs w:val="22"/>
      <w:lang w:val="en-US" w:eastAsia="zh-CN" w:bidi="ar-SA"/>
    </w:rPr>
  </w:style>
  <w:style w:type="paragraph" w:styleId="3">
    <w:name w:val="heading 1"/>
    <w:basedOn w:val="1"/>
    <w:next w:val="1"/>
    <w:link w:val="27"/>
    <w:qFormat/>
    <w:uiPriority w:val="9"/>
    <w:pPr>
      <w:keepNext/>
      <w:keepLines/>
      <w:spacing w:before="340" w:after="330"/>
      <w:ind w:firstLine="0" w:firstLineChars="0"/>
      <w:outlineLvl w:val="0"/>
    </w:pPr>
    <w:rPr>
      <w:rFonts w:eastAsia="黑体"/>
      <w:b/>
      <w:bCs/>
      <w:kern w:val="44"/>
      <w:szCs w:val="44"/>
    </w:rPr>
  </w:style>
  <w:style w:type="paragraph" w:styleId="4">
    <w:name w:val="heading 2"/>
    <w:basedOn w:val="1"/>
    <w:next w:val="1"/>
    <w:link w:val="31"/>
    <w:unhideWhenUsed/>
    <w:qFormat/>
    <w:uiPriority w:val="9"/>
    <w:pPr>
      <w:keepNext/>
      <w:keepLines/>
      <w:spacing w:before="260" w:after="260"/>
      <w:ind w:firstLine="0" w:firstLineChars="0"/>
      <w:outlineLvl w:val="1"/>
    </w:pPr>
    <w:rPr>
      <w:rFonts w:eastAsia="黑体" w:cstheme="majorBidi"/>
      <w:b/>
      <w:bCs/>
      <w:szCs w:val="32"/>
    </w:rPr>
  </w:style>
  <w:style w:type="paragraph" w:styleId="5">
    <w:name w:val="heading 3"/>
    <w:basedOn w:val="1"/>
    <w:next w:val="1"/>
    <w:link w:val="32"/>
    <w:unhideWhenUsed/>
    <w:qFormat/>
    <w:uiPriority w:val="9"/>
    <w:pPr>
      <w:keepNext/>
      <w:keepLines/>
      <w:spacing w:before="260" w:after="260"/>
      <w:ind w:firstLine="0" w:firstLineChars="0"/>
      <w:outlineLvl w:val="2"/>
    </w:pPr>
    <w:rPr>
      <w:rFonts w:eastAsia="楷体"/>
      <w:bCs/>
      <w:szCs w:val="32"/>
    </w:rPr>
  </w:style>
  <w:style w:type="paragraph" w:styleId="6">
    <w:name w:val="heading 4"/>
    <w:basedOn w:val="1"/>
    <w:next w:val="1"/>
    <w:link w:val="38"/>
    <w:unhideWhenUsed/>
    <w:qFormat/>
    <w:uiPriority w:val="9"/>
    <w:pPr>
      <w:keepNext/>
      <w:keepLines/>
      <w:spacing w:before="280" w:after="290" w:line="376" w:lineRule="atLeast"/>
      <w:outlineLvl w:val="3"/>
    </w:pPr>
    <w:rPr>
      <w:rFonts w:asciiTheme="majorHAnsi" w:hAnsiTheme="majorHAnsi" w:eastAsiaTheme="majorEastAsia" w:cstheme="majorBidi"/>
      <w:b/>
      <w:bCs/>
      <w:szCs w:val="28"/>
    </w:rPr>
  </w:style>
  <w:style w:type="paragraph" w:styleId="7">
    <w:name w:val="heading 5"/>
    <w:basedOn w:val="1"/>
    <w:next w:val="1"/>
    <w:qFormat/>
    <w:uiPriority w:val="0"/>
    <w:pPr>
      <w:keepNext/>
      <w:keepLines/>
      <w:spacing w:before="50" w:beforeLines="50" w:after="50" w:afterLines="50" w:line="240" w:lineRule="auto"/>
      <w:outlineLvl w:val="4"/>
    </w:pPr>
    <w:rPr>
      <w:rFonts w:eastAsia="黑体"/>
      <w:bCs/>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toc 5"/>
    <w:basedOn w:val="1"/>
    <w:next w:val="1"/>
    <w:qFormat/>
    <w:uiPriority w:val="39"/>
    <w:pPr>
      <w:ind w:left="1680" w:leftChars="800"/>
    </w:pPr>
    <w:rPr>
      <w:rFonts w:ascii="Times New Roman" w:hAnsi="Times New Roman"/>
      <w:szCs w:val="24"/>
    </w:rPr>
  </w:style>
  <w:style w:type="paragraph" w:styleId="8">
    <w:name w:val="Normal Indent"/>
    <w:basedOn w:val="1"/>
    <w:qFormat/>
    <w:uiPriority w:val="0"/>
    <w:pPr>
      <w:spacing w:beforeLines="50" w:line="300" w:lineRule="auto"/>
      <w:ind w:firstLine="420"/>
    </w:pPr>
    <w:rPr>
      <w:szCs w:val="24"/>
    </w:rPr>
  </w:style>
  <w:style w:type="paragraph" w:styleId="9">
    <w:name w:val="caption"/>
    <w:basedOn w:val="1"/>
    <w:next w:val="1"/>
    <w:unhideWhenUsed/>
    <w:qFormat/>
    <w:uiPriority w:val="35"/>
    <w:pPr>
      <w:jc w:val="center"/>
    </w:pPr>
    <w:rPr>
      <w:rFonts w:eastAsia="黑体" w:cstheme="majorBidi"/>
      <w:szCs w:val="20"/>
    </w:rPr>
  </w:style>
  <w:style w:type="paragraph" w:styleId="10">
    <w:name w:val="Document Map"/>
    <w:basedOn w:val="1"/>
    <w:link w:val="28"/>
    <w:semiHidden/>
    <w:unhideWhenUsed/>
    <w:qFormat/>
    <w:uiPriority w:val="99"/>
    <w:rPr>
      <w:rFonts w:ascii="宋体"/>
      <w:sz w:val="18"/>
      <w:szCs w:val="18"/>
    </w:rPr>
  </w:style>
  <w:style w:type="paragraph" w:styleId="11">
    <w:name w:val="annotation text"/>
    <w:basedOn w:val="1"/>
    <w:link w:val="40"/>
    <w:semiHidden/>
    <w:unhideWhenUsed/>
    <w:qFormat/>
    <w:uiPriority w:val="99"/>
    <w:pPr>
      <w:jc w:val="left"/>
    </w:pPr>
  </w:style>
  <w:style w:type="paragraph" w:styleId="12">
    <w:name w:val="Body Text Indent"/>
    <w:basedOn w:val="1"/>
    <w:qFormat/>
    <w:uiPriority w:val="0"/>
    <w:pPr>
      <w:spacing w:after="120"/>
      <w:ind w:left="420" w:leftChars="200"/>
    </w:pPr>
    <w:rPr>
      <w:szCs w:val="24"/>
    </w:rPr>
  </w:style>
  <w:style w:type="paragraph" w:styleId="13">
    <w:name w:val="toc 3"/>
    <w:basedOn w:val="1"/>
    <w:next w:val="1"/>
    <w:semiHidden/>
    <w:unhideWhenUsed/>
    <w:qFormat/>
    <w:uiPriority w:val="39"/>
    <w:pPr>
      <w:adjustRightInd/>
      <w:snapToGrid/>
      <w:spacing w:after="100" w:line="276" w:lineRule="auto"/>
      <w:ind w:left="440" w:firstLine="0" w:firstLineChars="0"/>
      <w:jc w:val="left"/>
    </w:pPr>
    <w:rPr>
      <w:rFonts w:asciiTheme="minorHAnsi" w:hAnsiTheme="minorHAnsi" w:eastAsiaTheme="minorEastAsia"/>
      <w:sz w:val="22"/>
    </w:rPr>
  </w:style>
  <w:style w:type="paragraph" w:styleId="14">
    <w:name w:val="Balloon Text"/>
    <w:basedOn w:val="1"/>
    <w:link w:val="37"/>
    <w:semiHidden/>
    <w:unhideWhenUsed/>
    <w:qFormat/>
    <w:uiPriority w:val="99"/>
    <w:pPr>
      <w:spacing w:line="240" w:lineRule="auto"/>
    </w:pPr>
    <w:rPr>
      <w:sz w:val="18"/>
      <w:szCs w:val="18"/>
    </w:rPr>
  </w:style>
  <w:style w:type="paragraph" w:styleId="15">
    <w:name w:val="footer"/>
    <w:basedOn w:val="1"/>
    <w:link w:val="36"/>
    <w:unhideWhenUsed/>
    <w:qFormat/>
    <w:uiPriority w:val="99"/>
    <w:pPr>
      <w:tabs>
        <w:tab w:val="center" w:pos="4153"/>
        <w:tab w:val="right" w:pos="8306"/>
      </w:tabs>
      <w:spacing w:line="240" w:lineRule="atLeast"/>
      <w:jc w:val="left"/>
    </w:pPr>
    <w:rPr>
      <w:sz w:val="18"/>
      <w:szCs w:val="18"/>
    </w:rPr>
  </w:style>
  <w:style w:type="paragraph" w:styleId="16">
    <w:name w:val="header"/>
    <w:basedOn w:val="1"/>
    <w:link w:val="35"/>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Normal (Web)"/>
    <w:basedOn w:val="1"/>
    <w:semiHidden/>
    <w:unhideWhenUsed/>
    <w:qFormat/>
    <w:uiPriority w:val="99"/>
    <w:pPr>
      <w:adjustRightInd/>
      <w:snapToGrid/>
      <w:spacing w:before="100" w:beforeAutospacing="1" w:after="100" w:afterAutospacing="1" w:line="240" w:lineRule="auto"/>
      <w:ind w:firstLine="0" w:firstLineChars="0"/>
      <w:jc w:val="left"/>
    </w:pPr>
    <w:rPr>
      <w:rFonts w:ascii="宋体" w:hAnsi="宋体" w:cs="宋体"/>
      <w:szCs w:val="24"/>
    </w:rPr>
  </w:style>
  <w:style w:type="paragraph" w:styleId="20">
    <w:name w:val="annotation subject"/>
    <w:basedOn w:val="11"/>
    <w:next w:val="11"/>
    <w:link w:val="41"/>
    <w:semiHidden/>
    <w:unhideWhenUsed/>
    <w:qFormat/>
    <w:uiPriority w:val="99"/>
    <w:rPr>
      <w:b/>
      <w:bCs/>
    </w:rPr>
  </w:style>
  <w:style w:type="paragraph" w:styleId="21">
    <w:name w:val="Body Text First Indent 2"/>
    <w:basedOn w:val="12"/>
    <w:unhideWhenUsed/>
    <w:qFormat/>
    <w:uiPriority w:val="99"/>
    <w:pPr>
      <w:ind w:firstLine="420"/>
    </w:pPr>
  </w:style>
  <w:style w:type="table" w:styleId="23">
    <w:name w:val="Table Grid"/>
    <w:basedOn w:val="2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styleId="25">
    <w:name w:val="Hyperlink"/>
    <w:basedOn w:val="24"/>
    <w:unhideWhenUsed/>
    <w:qFormat/>
    <w:uiPriority w:val="99"/>
    <w:rPr>
      <w:color w:val="0000FF" w:themeColor="hyperlink"/>
      <w:u w:val="single"/>
      <w14:textFill>
        <w14:solidFill>
          <w14:schemeClr w14:val="hlink"/>
        </w14:solidFill>
      </w14:textFill>
    </w:rPr>
  </w:style>
  <w:style w:type="character" w:styleId="26">
    <w:name w:val="annotation reference"/>
    <w:basedOn w:val="24"/>
    <w:semiHidden/>
    <w:unhideWhenUsed/>
    <w:qFormat/>
    <w:uiPriority w:val="99"/>
    <w:rPr>
      <w:sz w:val="21"/>
      <w:szCs w:val="21"/>
    </w:rPr>
  </w:style>
  <w:style w:type="character" w:customStyle="1" w:styleId="27">
    <w:name w:val="标题 1 字符"/>
    <w:basedOn w:val="24"/>
    <w:link w:val="3"/>
    <w:qFormat/>
    <w:uiPriority w:val="9"/>
    <w:rPr>
      <w:rFonts w:ascii="Times New Roman" w:hAnsi="Times New Roman" w:eastAsia="黑体"/>
      <w:b/>
      <w:bCs/>
      <w:kern w:val="44"/>
      <w:sz w:val="28"/>
      <w:szCs w:val="44"/>
    </w:rPr>
  </w:style>
  <w:style w:type="character" w:customStyle="1" w:styleId="28">
    <w:name w:val="文档结构图 字符"/>
    <w:basedOn w:val="24"/>
    <w:link w:val="10"/>
    <w:semiHidden/>
    <w:qFormat/>
    <w:uiPriority w:val="99"/>
    <w:rPr>
      <w:rFonts w:ascii="宋体" w:hAnsi="Tahoma" w:eastAsia="宋体"/>
      <w:sz w:val="18"/>
      <w:szCs w:val="18"/>
    </w:rPr>
  </w:style>
  <w:style w:type="paragraph" w:styleId="29">
    <w:name w:val="List Paragraph"/>
    <w:basedOn w:val="1"/>
    <w:qFormat/>
    <w:uiPriority w:val="34"/>
    <w:pPr>
      <w:ind w:firstLine="420"/>
    </w:pPr>
  </w:style>
  <w:style w:type="paragraph" w:styleId="30">
    <w:name w:val="No Spacing"/>
    <w:qFormat/>
    <w:uiPriority w:val="1"/>
    <w:pPr>
      <w:adjustRightInd w:val="0"/>
      <w:snapToGrid w:val="0"/>
    </w:pPr>
    <w:rPr>
      <w:rFonts w:ascii="Times New Roman" w:hAnsi="Times New Roman" w:eastAsia="宋体" w:cstheme="minorBidi"/>
      <w:sz w:val="24"/>
      <w:szCs w:val="22"/>
      <w:lang w:val="en-US" w:eastAsia="zh-CN" w:bidi="ar-SA"/>
    </w:rPr>
  </w:style>
  <w:style w:type="character" w:customStyle="1" w:styleId="31">
    <w:name w:val="标题 2 字符"/>
    <w:basedOn w:val="24"/>
    <w:link w:val="4"/>
    <w:qFormat/>
    <w:uiPriority w:val="9"/>
    <w:rPr>
      <w:rFonts w:ascii="Times New Roman" w:hAnsi="Times New Roman" w:eastAsia="黑体" w:cstheme="majorBidi"/>
      <w:b/>
      <w:bCs/>
      <w:sz w:val="24"/>
      <w:szCs w:val="32"/>
    </w:rPr>
  </w:style>
  <w:style w:type="character" w:customStyle="1" w:styleId="32">
    <w:name w:val="标题 3 字符"/>
    <w:basedOn w:val="24"/>
    <w:link w:val="5"/>
    <w:qFormat/>
    <w:uiPriority w:val="9"/>
    <w:rPr>
      <w:rFonts w:ascii="Times New Roman" w:hAnsi="Times New Roman" w:eastAsia="楷体"/>
      <w:bCs/>
      <w:sz w:val="24"/>
      <w:szCs w:val="32"/>
    </w:rPr>
  </w:style>
  <w:style w:type="paragraph" w:customStyle="1" w:styleId="33">
    <w:name w:val="表格内容"/>
    <w:basedOn w:val="1"/>
    <w:link w:val="34"/>
    <w:qFormat/>
    <w:uiPriority w:val="0"/>
    <w:pPr>
      <w:spacing w:line="240" w:lineRule="auto"/>
      <w:ind w:firstLine="0" w:firstLineChars="0"/>
      <w:jc w:val="left"/>
    </w:pPr>
    <w:rPr>
      <w:rFonts w:cs="宋体"/>
      <w:bCs/>
      <w:sz w:val="21"/>
      <w:szCs w:val="21"/>
    </w:rPr>
  </w:style>
  <w:style w:type="character" w:customStyle="1" w:styleId="34">
    <w:name w:val="表格内容 Char"/>
    <w:basedOn w:val="24"/>
    <w:link w:val="33"/>
    <w:qFormat/>
    <w:uiPriority w:val="0"/>
    <w:rPr>
      <w:rFonts w:ascii="Times New Roman" w:hAnsi="Times New Roman" w:eastAsia="宋体" w:cs="宋体"/>
      <w:bCs/>
      <w:sz w:val="21"/>
      <w:szCs w:val="21"/>
    </w:rPr>
  </w:style>
  <w:style w:type="character" w:customStyle="1" w:styleId="35">
    <w:name w:val="页眉 字符"/>
    <w:basedOn w:val="24"/>
    <w:link w:val="16"/>
    <w:qFormat/>
    <w:uiPriority w:val="99"/>
    <w:rPr>
      <w:rFonts w:ascii="Times New Roman" w:hAnsi="Times New Roman" w:eastAsia="宋体"/>
      <w:sz w:val="18"/>
      <w:szCs w:val="18"/>
    </w:rPr>
  </w:style>
  <w:style w:type="character" w:customStyle="1" w:styleId="36">
    <w:name w:val="页脚 字符"/>
    <w:basedOn w:val="24"/>
    <w:link w:val="15"/>
    <w:qFormat/>
    <w:uiPriority w:val="99"/>
    <w:rPr>
      <w:rFonts w:ascii="Times New Roman" w:hAnsi="Times New Roman" w:eastAsia="宋体"/>
      <w:sz w:val="18"/>
      <w:szCs w:val="18"/>
    </w:rPr>
  </w:style>
  <w:style w:type="character" w:customStyle="1" w:styleId="37">
    <w:name w:val="批注框文本 字符"/>
    <w:basedOn w:val="24"/>
    <w:link w:val="14"/>
    <w:semiHidden/>
    <w:qFormat/>
    <w:uiPriority w:val="99"/>
    <w:rPr>
      <w:rFonts w:ascii="Times New Roman" w:hAnsi="Times New Roman" w:eastAsia="宋体"/>
      <w:sz w:val="18"/>
      <w:szCs w:val="18"/>
    </w:rPr>
  </w:style>
  <w:style w:type="character" w:customStyle="1" w:styleId="38">
    <w:name w:val="标题 4 字符"/>
    <w:basedOn w:val="24"/>
    <w:link w:val="6"/>
    <w:qFormat/>
    <w:uiPriority w:val="9"/>
    <w:rPr>
      <w:rFonts w:asciiTheme="majorHAnsi" w:hAnsiTheme="majorHAnsi" w:eastAsiaTheme="majorEastAsia" w:cstheme="majorBidi"/>
      <w:b/>
      <w:bCs/>
      <w:sz w:val="28"/>
      <w:szCs w:val="28"/>
    </w:rPr>
  </w:style>
  <w:style w:type="paragraph" w:customStyle="1" w:styleId="39">
    <w:name w:val="TOC 标题1"/>
    <w:basedOn w:val="3"/>
    <w:next w:val="1"/>
    <w:semiHidden/>
    <w:unhideWhenUsed/>
    <w:qFormat/>
    <w:uiPriority w:val="39"/>
    <w:pPr>
      <w:adjustRightInd/>
      <w:snapToGrid/>
      <w:spacing w:before="480" w:after="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40">
    <w:name w:val="批注文字 字符"/>
    <w:basedOn w:val="24"/>
    <w:link w:val="11"/>
    <w:semiHidden/>
    <w:qFormat/>
    <w:uiPriority w:val="99"/>
    <w:rPr>
      <w:rFonts w:ascii="Times New Roman" w:hAnsi="Times New Roman" w:eastAsia="宋体"/>
      <w:sz w:val="24"/>
    </w:rPr>
  </w:style>
  <w:style w:type="character" w:customStyle="1" w:styleId="41">
    <w:name w:val="批注主题 字符"/>
    <w:basedOn w:val="40"/>
    <w:link w:val="20"/>
    <w:semiHidden/>
    <w:qFormat/>
    <w:uiPriority w:val="99"/>
    <w:rPr>
      <w:rFonts w:ascii="Times New Roman" w:hAnsi="Times New Roman" w:eastAsia="宋体"/>
      <w:b/>
      <w:bCs/>
      <w:sz w:val="24"/>
    </w:rPr>
  </w:style>
  <w:style w:type="paragraph" w:customStyle="1" w:styleId="42">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43">
    <w:name w:val="表样式1 Char"/>
    <w:link w:val="44"/>
    <w:qFormat/>
    <w:uiPriority w:val="0"/>
    <w:rPr>
      <w:rFonts w:eastAsia="黑体"/>
      <w:bCs/>
      <w:color w:val="000000"/>
      <w:sz w:val="21"/>
      <w:szCs w:val="24"/>
    </w:rPr>
  </w:style>
  <w:style w:type="paragraph" w:customStyle="1" w:styleId="44">
    <w:name w:val="表样式1"/>
    <w:basedOn w:val="1"/>
    <w:link w:val="43"/>
    <w:qFormat/>
    <w:uiPriority w:val="0"/>
    <w:pPr>
      <w:spacing w:after="50" w:afterLines="50" w:line="288" w:lineRule="auto"/>
      <w:jc w:val="center"/>
    </w:pPr>
    <w:rPr>
      <w:rFonts w:eastAsia="黑体"/>
      <w:bCs/>
      <w:color w:val="000000"/>
      <w:sz w:val="21"/>
      <w:szCs w:val="24"/>
    </w:rPr>
  </w:style>
  <w:style w:type="character" w:customStyle="1" w:styleId="45">
    <w:name w:val="A0"/>
    <w:qFormat/>
    <w:uiPriority w:val="0"/>
    <w:rPr>
      <w:rFonts w:cs="MYuenHKS-SemiBold"/>
      <w:color w:val="000000"/>
      <w:sz w:val="16"/>
      <w:szCs w:val="16"/>
    </w:rPr>
  </w:style>
  <w:style w:type="paragraph" w:customStyle="1" w:styleId="46">
    <w:name w:val="常规正文"/>
    <w:basedOn w:val="1"/>
    <w:qFormat/>
    <w:uiPriority w:val="0"/>
    <w:pPr>
      <w:spacing w:line="300" w:lineRule="auto"/>
    </w:pPr>
  </w:style>
  <w:style w:type="paragraph" w:customStyle="1" w:styleId="47">
    <w:name w:val="WPSOffice手动目录 1"/>
    <w:qFormat/>
    <w:uiPriority w:val="0"/>
    <w:rPr>
      <w:rFonts w:ascii="Times New Roman" w:hAnsi="Times New Roman" w:eastAsia="宋体" w:cs="Times New Roman"/>
      <w:lang w:val="en-US" w:eastAsia="zh-CN" w:bidi="ar-SA"/>
    </w:rPr>
  </w:style>
  <w:style w:type="paragraph" w:customStyle="1" w:styleId="4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9">
    <w:name w:val="01-body"/>
    <w:basedOn w:val="8"/>
    <w:qFormat/>
    <w:uiPriority w:val="0"/>
    <w:pPr>
      <w:spacing w:before="50" w:line="400" w:lineRule="exact"/>
      <w:ind w:firstLine="200"/>
    </w:pPr>
    <w:rPr>
      <w:rFonts w:eastAsia="等线"/>
      <w:shd w:val="clear" w:color="auto" w:fill="FFFFFF"/>
    </w:rPr>
  </w:style>
  <w:style w:type="paragraph" w:customStyle="1" w:styleId="50">
    <w:name w:val="02-body-bold"/>
    <w:basedOn w:val="49"/>
    <w:qFormat/>
    <w:uiPriority w:val="0"/>
    <w:pPr>
      <w:spacing w:before="156"/>
      <w:ind w:firstLine="480"/>
    </w:pPr>
    <w:rPr>
      <w:b/>
    </w:rPr>
  </w:style>
  <w:style w:type="paragraph" w:customStyle="1" w:styleId="51">
    <w:name w:val="001-正文2缩进"/>
    <w:basedOn w:val="1"/>
    <w:qFormat/>
    <w:uiPriority w:val="0"/>
    <w:pPr>
      <w:ind w:firstLine="480"/>
    </w:pPr>
  </w:style>
  <w:style w:type="paragraph" w:customStyle="1" w:styleId="52">
    <w:name w:val="07-table-header"/>
    <w:basedOn w:val="53"/>
    <w:qFormat/>
    <w:uiPriority w:val="0"/>
    <w:pPr>
      <w:spacing w:line="360" w:lineRule="auto"/>
      <w:jc w:val="center"/>
    </w:pPr>
    <w:rPr>
      <w:rFonts w:eastAsia="黑体"/>
      <w:b/>
      <w:szCs w:val="21"/>
    </w:rPr>
  </w:style>
  <w:style w:type="paragraph" w:customStyle="1" w:styleId="53">
    <w:name w:val="Char1"/>
    <w:basedOn w:val="1"/>
    <w:next w:val="1"/>
    <w:qFormat/>
    <w:uiPriority w:val="0"/>
    <w:rPr>
      <w:szCs w:val="24"/>
    </w:rPr>
  </w:style>
  <w:style w:type="paragraph" w:customStyle="1" w:styleId="54">
    <w:name w:val="08-table-header-small"/>
    <w:basedOn w:val="52"/>
    <w:qFormat/>
    <w:uiPriority w:val="99"/>
    <w:rPr>
      <w:rFonts w:cs="宋体"/>
      <w:sz w:val="21"/>
    </w:rPr>
  </w:style>
  <w:style w:type="paragraph" w:customStyle="1" w:styleId="55">
    <w:name w:val="09-table-body"/>
    <w:basedOn w:val="54"/>
    <w:qFormat/>
    <w:uiPriority w:val="0"/>
    <w:pPr>
      <w:spacing w:line="400" w:lineRule="exact"/>
      <w:jc w:val="left"/>
    </w:pPr>
    <w:rPr>
      <w:rFonts w:eastAsia="宋体"/>
      <w:b w:val="0"/>
      <w:sz w:val="18"/>
    </w:rPr>
  </w:style>
  <w:style w:type="paragraph" w:customStyle="1" w:styleId="56">
    <w:name w:val="03-title"/>
    <w:basedOn w:val="52"/>
    <w:qFormat/>
    <w:uiPriority w:val="0"/>
    <w:pPr>
      <w:widowControl/>
    </w:pPr>
  </w:style>
  <w:style w:type="paragraph" w:customStyle="1" w:styleId="57">
    <w:name w:val="表头-小"/>
    <w:basedOn w:val="58"/>
    <w:qFormat/>
    <w:uiPriority w:val="0"/>
    <w:pPr>
      <w:spacing w:line="360" w:lineRule="auto"/>
    </w:pPr>
  </w:style>
  <w:style w:type="paragraph" w:customStyle="1" w:styleId="58">
    <w:name w:val="表头"/>
    <w:qFormat/>
    <w:uiPriority w:val="0"/>
    <w:pPr>
      <w:spacing w:line="480" w:lineRule="auto"/>
      <w:jc w:val="center"/>
    </w:pPr>
    <w:rPr>
      <w:rFonts w:ascii="宋体" w:hAnsi="宋体" w:cs="宋体" w:eastAsiaTheme="minorEastAsia"/>
      <w:b/>
      <w:color w:val="000000"/>
      <w:sz w:val="22"/>
      <w:szCs w:val="21"/>
      <w:lang w:val="zh-CN" w:eastAsia="zh-CN" w:bidi="ar-SA"/>
    </w:rPr>
  </w:style>
  <w:style w:type="paragraph" w:customStyle="1" w:styleId="59">
    <w:name w:val="表格正文-无缩进"/>
    <w:basedOn w:val="1"/>
    <w:qFormat/>
    <w:uiPriority w:val="0"/>
    <w:pPr>
      <w:widowControl/>
      <w:autoSpaceDE w:val="0"/>
      <w:autoSpaceDN w:val="0"/>
      <w:adjustRightInd w:val="0"/>
      <w:spacing w:before="80" w:after="80" w:line="320" w:lineRule="exact"/>
      <w:jc w:val="left"/>
      <w:textAlignment w:val="center"/>
    </w:pPr>
    <w:rPr>
      <w:rFonts w:cs="宋体" w:eastAsiaTheme="minorEastAsia"/>
      <w:color w:val="000000"/>
      <w:kern w:val="0"/>
      <w:szCs w:val="21"/>
      <w:lang w:val="zh-CN"/>
    </w:rPr>
  </w:style>
  <w:style w:type="paragraph" w:customStyle="1" w:styleId="60">
    <w:name w:val="000-正文样式"/>
    <w:basedOn w:val="1"/>
    <w:qFormat/>
    <w:uiPriority w:val="0"/>
    <w:pPr>
      <w:spacing w:line="300" w:lineRule="auto"/>
    </w:pPr>
  </w:style>
  <w:style w:type="paragraph" w:customStyle="1" w:styleId="61">
    <w:name w:val="005-表格正文"/>
    <w:qFormat/>
    <w:uiPriority w:val="0"/>
    <w:pPr>
      <w:spacing w:line="240" w:lineRule="atLeast"/>
      <w:jc w:val="center"/>
    </w:pPr>
    <w:rPr>
      <w:rFonts w:ascii="等线" w:hAnsi="等线" w:eastAsia="等线" w:cs="Times New Roman"/>
      <w:kern w:val="2"/>
      <w:sz w:val="1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881785-A98E-4228-89F4-B2AC14437924}">
  <ds:schemaRefs/>
</ds:datastoreItem>
</file>

<file path=docProps/app.xml><?xml version="1.0" encoding="utf-8"?>
<Properties xmlns="http://schemas.openxmlformats.org/officeDocument/2006/extended-properties" xmlns:vt="http://schemas.openxmlformats.org/officeDocument/2006/docPropsVTypes">
  <Template>Normal.dotm</Template>
  <Pages>1</Pages>
  <Words>1977</Words>
  <Characters>11273</Characters>
  <Lines>93</Lines>
  <Paragraphs>26</Paragraphs>
  <TotalTime>1</TotalTime>
  <ScaleCrop>false</ScaleCrop>
  <LinksUpToDate>false</LinksUpToDate>
  <CharactersWithSpaces>13224</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2018-09-06T08:12:00Z</dcterms:created>
  <dc:creator>sculin</dc:creator>
  <cp:lastModifiedBy>championyang</cp:lastModifiedBy>
  <dcterms:modified xsi:type="dcterms:W3CDTF">2022-10-14T02:31:23Z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